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5AF91EE6" w:rsidR="00946011" w:rsidRPr="00425814" w:rsidRDefault="0028692C"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425814">
        <w:rPr>
          <w:b/>
          <w:szCs w:val="22"/>
        </w:rPr>
        <w:t>ESTUDO TÉCNICO PRELIMINAR</w:t>
      </w:r>
    </w:p>
    <w:p w14:paraId="37E7976F" w14:textId="6A551972" w:rsidR="00425814" w:rsidRPr="00E92656" w:rsidRDefault="00EC21C1" w:rsidP="00BB22C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Cs w:val="22"/>
          <w:highlight w:val="cyan"/>
        </w:rPr>
      </w:pPr>
      <w:r>
        <w:rPr>
          <w:b/>
          <w:szCs w:val="22"/>
        </w:rPr>
        <w:t>INEXIGIBILIDADE</w:t>
      </w:r>
      <w:r w:rsidR="00425814" w:rsidRPr="00425814">
        <w:rPr>
          <w:b/>
          <w:szCs w:val="22"/>
        </w:rPr>
        <w:t xml:space="preserve"> DE LICITAÇÃO n°</w:t>
      </w:r>
      <w:r w:rsidR="00E92656" w:rsidRPr="00981B82">
        <w:rPr>
          <w:b/>
          <w:szCs w:val="22"/>
        </w:rPr>
        <w:t>0</w:t>
      </w:r>
      <w:r w:rsidR="00981B82">
        <w:rPr>
          <w:b/>
          <w:szCs w:val="22"/>
        </w:rPr>
        <w:t>5</w:t>
      </w:r>
      <w:r w:rsidR="00E92656" w:rsidRPr="00981B82">
        <w:rPr>
          <w:b/>
          <w:szCs w:val="22"/>
        </w:rPr>
        <w:t>/2026</w:t>
      </w:r>
    </w:p>
    <w:p w14:paraId="490E0498" w14:textId="4B3C4035" w:rsidR="00D008B8" w:rsidRPr="00425814" w:rsidRDefault="00D008B8"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r w:rsidRPr="00981B82">
        <w:rPr>
          <w:b/>
          <w:bCs/>
          <w:szCs w:val="22"/>
        </w:rPr>
        <w:t xml:space="preserve">PROCESSO ADMINISTRATIVO Nº </w:t>
      </w:r>
      <w:r w:rsidR="00981B82">
        <w:rPr>
          <w:b/>
          <w:bCs/>
          <w:szCs w:val="22"/>
        </w:rPr>
        <w:t>58</w:t>
      </w:r>
      <w:r w:rsidR="000F51ED" w:rsidRPr="00981B82">
        <w:rPr>
          <w:b/>
          <w:bCs/>
          <w:szCs w:val="22"/>
        </w:rPr>
        <w:t>/</w:t>
      </w:r>
      <w:r w:rsidR="001F7082" w:rsidRPr="00981B82">
        <w:rPr>
          <w:b/>
          <w:bCs/>
          <w:szCs w:val="22"/>
        </w:rPr>
        <w:t>202</w:t>
      </w:r>
      <w:r w:rsidR="002015D3" w:rsidRPr="00981B82">
        <w:rPr>
          <w:b/>
          <w:bCs/>
          <w:szCs w:val="22"/>
        </w:rPr>
        <w:t>6</w:t>
      </w:r>
    </w:p>
    <w:p w14:paraId="267D3BCA" w14:textId="77777777" w:rsidR="00C6593F" w:rsidRPr="00425814" w:rsidRDefault="00C6593F" w:rsidP="006C2CD7">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Cs w:val="22"/>
        </w:rPr>
      </w:pPr>
    </w:p>
    <w:p w14:paraId="02BD1339" w14:textId="56F991F7" w:rsidR="00357F2C" w:rsidRPr="00425814" w:rsidRDefault="003C7A4A" w:rsidP="00DF4AC7">
      <w:pPr>
        <w:spacing w:line="276" w:lineRule="auto"/>
        <w:jc w:val="both"/>
        <w:rPr>
          <w:b/>
          <w:bCs/>
          <w:szCs w:val="22"/>
        </w:rPr>
      </w:pPr>
      <w:r>
        <w:rPr>
          <w:b/>
          <w:bCs/>
          <w:szCs w:val="22"/>
        </w:rPr>
        <w:t>M</w:t>
      </w:r>
      <w:r w:rsidR="00C23AE0" w:rsidRPr="00425814">
        <w:rPr>
          <w:b/>
          <w:bCs/>
          <w:szCs w:val="22"/>
        </w:rPr>
        <w:t>UNICÍPIO DE MIRAGUAÍ - RS</w:t>
      </w:r>
    </w:p>
    <w:p w14:paraId="6E016256" w14:textId="7A29A66E" w:rsidR="002664D0" w:rsidRPr="00425814" w:rsidRDefault="00C23AE0" w:rsidP="00DF4AC7">
      <w:pPr>
        <w:spacing w:line="276" w:lineRule="auto"/>
        <w:jc w:val="both"/>
        <w:rPr>
          <w:b/>
          <w:bCs/>
          <w:szCs w:val="22"/>
        </w:rPr>
      </w:pPr>
      <w:r w:rsidRPr="00425814">
        <w:rPr>
          <w:b/>
          <w:bCs/>
          <w:szCs w:val="22"/>
        </w:rPr>
        <w:t xml:space="preserve">SECRETARIA MUNICIPAL </w:t>
      </w:r>
      <w:r w:rsidR="00E56E9C">
        <w:rPr>
          <w:b/>
          <w:bCs/>
          <w:szCs w:val="22"/>
        </w:rPr>
        <w:t xml:space="preserve">DE </w:t>
      </w:r>
      <w:r w:rsidR="00DF1A43">
        <w:rPr>
          <w:b/>
          <w:bCs/>
          <w:szCs w:val="22"/>
        </w:rPr>
        <w:t>ADMINISTRAÇÃO</w:t>
      </w:r>
    </w:p>
    <w:p w14:paraId="274572A9" w14:textId="671D9A15" w:rsidR="00D008B8" w:rsidRPr="008E6837" w:rsidRDefault="00C6593F" w:rsidP="00DF4AC7">
      <w:pPr>
        <w:spacing w:line="276" w:lineRule="auto"/>
        <w:jc w:val="both"/>
        <w:rPr>
          <w:szCs w:val="22"/>
        </w:rPr>
      </w:pPr>
      <w:r w:rsidRPr="00425814">
        <w:rPr>
          <w:b/>
          <w:bCs/>
          <w:szCs w:val="22"/>
        </w:rPr>
        <w:t>NECESSIDADE DA SECRETARIA</w:t>
      </w:r>
      <w:r w:rsidR="006C7919">
        <w:rPr>
          <w:b/>
          <w:bCs/>
          <w:szCs w:val="22"/>
        </w:rPr>
        <w:t xml:space="preserve">: </w:t>
      </w:r>
      <w:r w:rsidR="006C7919" w:rsidRPr="006C7919">
        <w:rPr>
          <w:b/>
          <w:color w:val="000000" w:themeColor="text1"/>
        </w:rPr>
        <w:t>CONTRATAÇÃO DE EMPRESA PARA CONSULTORIA E ASSESSORIA DIRETA PARA LANÇAMENTOS E REMESSAS DAS ENTREGAS LEGAIS EMITIDAS PELA CONTABILIDADE, ADMINISTRAÇÃO E OUTROS ÓRGÃOS</w:t>
      </w:r>
      <w:r w:rsidR="006C7919" w:rsidRPr="006C7919">
        <w:rPr>
          <w:b/>
          <w:szCs w:val="22"/>
        </w:rPr>
        <w:t>, ATRAVÉS DE INEXIGIBILIDADE</w:t>
      </w:r>
      <w:r w:rsidR="008E6837" w:rsidRPr="008E6837">
        <w:rPr>
          <w:b/>
          <w:bCs/>
          <w:szCs w:val="22"/>
        </w:rPr>
        <w:t xml:space="preserve"> </w:t>
      </w:r>
      <w:r w:rsidR="008E6837" w:rsidRPr="00981B82">
        <w:rPr>
          <w:b/>
          <w:bCs/>
          <w:szCs w:val="22"/>
        </w:rPr>
        <w:t xml:space="preserve">Nº </w:t>
      </w:r>
      <w:r w:rsidR="00981B82" w:rsidRPr="00981B82">
        <w:rPr>
          <w:b/>
          <w:bCs/>
          <w:szCs w:val="22"/>
        </w:rPr>
        <w:t>05</w:t>
      </w:r>
      <w:r w:rsidR="008E6837" w:rsidRPr="00981B82">
        <w:rPr>
          <w:b/>
          <w:bCs/>
          <w:szCs w:val="22"/>
        </w:rPr>
        <w:t>/2026</w:t>
      </w:r>
      <w:r w:rsidR="008E6837" w:rsidRPr="008E6837">
        <w:rPr>
          <w:b/>
          <w:bCs/>
          <w:szCs w:val="22"/>
        </w:rPr>
        <w:t>.</w:t>
      </w:r>
    </w:p>
    <w:p w14:paraId="691BFADA" w14:textId="77777777" w:rsidR="000779DC" w:rsidRPr="00425814" w:rsidRDefault="000779DC" w:rsidP="00DF4AC7">
      <w:pPr>
        <w:spacing w:line="276" w:lineRule="auto"/>
        <w:jc w:val="both"/>
        <w:rPr>
          <w:b/>
          <w:bCs/>
          <w:szCs w:val="22"/>
        </w:rPr>
      </w:pPr>
    </w:p>
    <w:p w14:paraId="45970B3C" w14:textId="2F12662A" w:rsidR="00F62C01" w:rsidRPr="00425814" w:rsidRDefault="00C6593F" w:rsidP="00DF4AC7">
      <w:pPr>
        <w:spacing w:line="276" w:lineRule="auto"/>
        <w:jc w:val="both"/>
        <w:rPr>
          <w:b/>
          <w:bCs/>
          <w:szCs w:val="22"/>
        </w:rPr>
      </w:pPr>
      <w:r w:rsidRPr="00425814">
        <w:rPr>
          <w:b/>
          <w:bCs/>
          <w:szCs w:val="22"/>
        </w:rPr>
        <w:t>1. DESCRIÇÃO DA NECESSIDADE</w:t>
      </w:r>
    </w:p>
    <w:p w14:paraId="18B838CD" w14:textId="0ADA2AAD" w:rsidR="006C7919" w:rsidRPr="008E6837" w:rsidRDefault="00342AFE" w:rsidP="006C7919">
      <w:pPr>
        <w:spacing w:line="276" w:lineRule="auto"/>
        <w:jc w:val="both"/>
        <w:rPr>
          <w:szCs w:val="22"/>
        </w:rPr>
      </w:pPr>
      <w:bookmarkStart w:id="0" w:name="_Hlk189748399"/>
      <w:r w:rsidRPr="00342AFE">
        <w:rPr>
          <w:szCs w:val="22"/>
        </w:rPr>
        <w:t xml:space="preserve">O presente termo tem por objeto </w:t>
      </w:r>
      <w:r w:rsidRPr="008E6837">
        <w:rPr>
          <w:szCs w:val="22"/>
        </w:rPr>
        <w:t xml:space="preserve">a </w:t>
      </w:r>
      <w:r w:rsidR="008E6837" w:rsidRPr="008E6837">
        <w:rPr>
          <w:rFonts w:ascii="Times New Roman" w:hAnsi="Times New Roman" w:cs="Times New Roman"/>
          <w:sz w:val="21"/>
          <w:szCs w:val="21"/>
        </w:rPr>
        <w:t xml:space="preserve">CONTRATAÇÃO DE </w:t>
      </w:r>
      <w:r w:rsidR="006C7919" w:rsidRPr="003839B2">
        <w:rPr>
          <w:bCs/>
          <w:color w:val="000000" w:themeColor="text1"/>
        </w:rPr>
        <w:t>EMPRESA PARA CONSULTORIA E ASSESSORIA DIRETA PARA LANÇAMENTOS E REMESSAS DAS ENTREGAS LEGAIS EMITIDAS PELA CONTABILIDADE, ADMINISTRAÇÃO E OUTROS ÓRGÃOS</w:t>
      </w:r>
      <w:r w:rsidR="006C7919" w:rsidRPr="003839B2">
        <w:rPr>
          <w:bCs/>
          <w:szCs w:val="22"/>
        </w:rPr>
        <w:t>, ATRAVÉS DE INEXIGIBILIDADE Nº 0</w:t>
      </w:r>
      <w:r w:rsidR="00981B82" w:rsidRPr="003839B2">
        <w:rPr>
          <w:bCs/>
          <w:szCs w:val="22"/>
        </w:rPr>
        <w:t>5</w:t>
      </w:r>
      <w:r w:rsidR="006C7919" w:rsidRPr="003839B2">
        <w:rPr>
          <w:bCs/>
          <w:szCs w:val="22"/>
        </w:rPr>
        <w:t>/2026.</w:t>
      </w:r>
    </w:p>
    <w:p w14:paraId="7FEA6504" w14:textId="6E67CC43" w:rsidR="008E6837" w:rsidRPr="00342AFE" w:rsidRDefault="008E6837" w:rsidP="00342AFE">
      <w:pPr>
        <w:spacing w:line="276" w:lineRule="auto"/>
        <w:jc w:val="both"/>
        <w:rPr>
          <w:szCs w:val="22"/>
        </w:rPr>
      </w:pPr>
    </w:p>
    <w:p w14:paraId="440267A6" w14:textId="4D7BD434" w:rsidR="008E6837" w:rsidRPr="008E6837" w:rsidRDefault="008E6837" w:rsidP="008E6837">
      <w:pPr>
        <w:spacing w:line="259" w:lineRule="auto"/>
        <w:jc w:val="both"/>
        <w:rPr>
          <w:b/>
          <w:bCs/>
          <w:szCs w:val="22"/>
        </w:rPr>
      </w:pPr>
      <w:r>
        <w:rPr>
          <w:b/>
          <w:bCs/>
          <w:szCs w:val="22"/>
        </w:rPr>
        <w:t xml:space="preserve">1.1 </w:t>
      </w:r>
      <w:r w:rsidR="00342AFE" w:rsidRPr="008E6837">
        <w:rPr>
          <w:b/>
          <w:bCs/>
          <w:szCs w:val="22"/>
        </w:rPr>
        <w:t>Justificativa</w:t>
      </w:r>
    </w:p>
    <w:p w14:paraId="4DD09711" w14:textId="77777777" w:rsidR="006C7919" w:rsidRPr="006C7919" w:rsidRDefault="006C7919" w:rsidP="006C7919">
      <w:pPr>
        <w:spacing w:line="276" w:lineRule="auto"/>
        <w:ind w:firstLine="708"/>
        <w:jc w:val="both"/>
        <w:rPr>
          <w:szCs w:val="22"/>
        </w:rPr>
      </w:pPr>
      <w:r w:rsidRPr="006C7919">
        <w:rPr>
          <w:szCs w:val="22"/>
        </w:rPr>
        <w:t>A presente contratação justifica-se pela necessidade de garantir suporte técnico especializado ao Município no que se refere aos lançamentos, análises, correções e remessas das entregas legais emitidas pelos setores de contabilidade, administração e demais órgãos municipais, assegurando o cumprimento dos prazos legais e das exigências dos órgãos de controle externo.</w:t>
      </w:r>
    </w:p>
    <w:p w14:paraId="564058D7" w14:textId="77777777" w:rsidR="006C7919" w:rsidRPr="006C7919" w:rsidRDefault="006C7919" w:rsidP="006C7919">
      <w:pPr>
        <w:spacing w:line="276" w:lineRule="auto"/>
        <w:ind w:firstLine="708"/>
        <w:jc w:val="both"/>
        <w:rPr>
          <w:szCs w:val="22"/>
        </w:rPr>
      </w:pPr>
      <w:r w:rsidRPr="006C7919">
        <w:rPr>
          <w:szCs w:val="22"/>
        </w:rPr>
        <w:t xml:space="preserve">O Município possui obrigação legal de manter atualizadas e devidamente encaminhadas as prestações de contas, informações contábeis, fiscais, orçamentárias e administrativas aos sistemas oficiais, tais como SIAPC/PAD, MSC, RREO, RGF, DCA, EFD-REINF, LICITACON, </w:t>
      </w:r>
      <w:proofErr w:type="spellStart"/>
      <w:r w:rsidRPr="006C7919">
        <w:rPr>
          <w:szCs w:val="22"/>
        </w:rPr>
        <w:t>eSocial</w:t>
      </w:r>
      <w:proofErr w:type="spellEnd"/>
      <w:r w:rsidRPr="006C7919">
        <w:rPr>
          <w:szCs w:val="22"/>
        </w:rPr>
        <w:t>, SIOPS, SIOPE, entre outros, observando rigorosamente os prazos estabelecidos pela legislação vigente e pelos órgãos fiscalizadores.</w:t>
      </w:r>
    </w:p>
    <w:p w14:paraId="7D9D1EFF" w14:textId="77777777" w:rsidR="006C7919" w:rsidRPr="006C7919" w:rsidRDefault="006C7919" w:rsidP="006C7919">
      <w:pPr>
        <w:spacing w:line="276" w:lineRule="auto"/>
        <w:ind w:firstLine="708"/>
        <w:jc w:val="both"/>
        <w:rPr>
          <w:szCs w:val="22"/>
        </w:rPr>
      </w:pPr>
      <w:r w:rsidRPr="006C7919">
        <w:rPr>
          <w:szCs w:val="22"/>
        </w:rPr>
        <w:t>A contratação da empresa especializada mostra-se necessária em razão das dificuldades enfrentadas pelos servidores municipais no fechamento, conferência e transmissão das informações obrigatórias, especialmente diante da complexidade técnica das remessas, constantes atualizações dos sistemas e necessidade de análise e correção de inconsistências, fatores que demandam conhecimento técnico específico e acompanhamento contínuo.</w:t>
      </w:r>
    </w:p>
    <w:p w14:paraId="0FBB1640" w14:textId="77777777" w:rsidR="006C7919" w:rsidRPr="006C7919" w:rsidRDefault="006C7919" w:rsidP="006C7919">
      <w:pPr>
        <w:spacing w:line="276" w:lineRule="auto"/>
        <w:ind w:firstLine="708"/>
        <w:jc w:val="both"/>
        <w:rPr>
          <w:szCs w:val="22"/>
        </w:rPr>
      </w:pPr>
      <w:r w:rsidRPr="006C7919">
        <w:rPr>
          <w:szCs w:val="22"/>
        </w:rPr>
        <w:t>A assessoria e consultoria pretendidas visam proporcionar suporte técnico aos servidores municipais, mediante acompanhamento direto, orientações técnicas, análise das inconsistências, ajustes das informações necessárias, monitoramento dos envios e auxílio nas prestações de contas, possibilitando maior segurança, eficiência e regularidade no cumprimento das obrigações legais do Município.</w:t>
      </w:r>
    </w:p>
    <w:p w14:paraId="1751413C" w14:textId="77777777" w:rsidR="006C7919" w:rsidRPr="006C7919" w:rsidRDefault="006C7919" w:rsidP="006C7919">
      <w:pPr>
        <w:spacing w:line="276" w:lineRule="auto"/>
        <w:ind w:firstLine="708"/>
        <w:jc w:val="both"/>
        <w:rPr>
          <w:szCs w:val="22"/>
        </w:rPr>
      </w:pPr>
      <w:r w:rsidRPr="006C7919">
        <w:rPr>
          <w:szCs w:val="22"/>
        </w:rPr>
        <w:t xml:space="preserve">A escolha da futura contratada deverá observar a capacidade técnica e operacional para execução dos serviços, considerando a necessidade de atendimento contínuo, suporte </w:t>
      </w:r>
      <w:r w:rsidRPr="006C7919">
        <w:rPr>
          <w:szCs w:val="22"/>
        </w:rPr>
        <w:lastRenderedPageBreak/>
        <w:t>especializado e conhecimento específico nas áreas contábil, administrativa, fiscal e de prestação de contas junto aos órgãos competentes.</w:t>
      </w:r>
    </w:p>
    <w:p w14:paraId="2340662D" w14:textId="77777777" w:rsidR="006C7919" w:rsidRPr="006C7919" w:rsidRDefault="006C7919" w:rsidP="006C7919">
      <w:pPr>
        <w:spacing w:line="276" w:lineRule="auto"/>
        <w:ind w:firstLine="708"/>
        <w:jc w:val="both"/>
        <w:rPr>
          <w:szCs w:val="22"/>
        </w:rPr>
      </w:pPr>
      <w:r w:rsidRPr="006C7919">
        <w:rPr>
          <w:szCs w:val="22"/>
        </w:rPr>
        <w:t>Dessa forma, a contratação pretendida atende ao interesse público, contribui para a regularidade administrativa do Município, minimiza riscos de apontamentos pelos órgãos de controle e assegura a continuidade e eficiência dos serviços públicos relacionados às obrigações legais e prestações de contas municipais.</w:t>
      </w:r>
    </w:p>
    <w:p w14:paraId="03BDEBDB" w14:textId="3EE8A1F1" w:rsidR="008E6837" w:rsidRPr="00342AFE" w:rsidRDefault="008E6837" w:rsidP="008E6837">
      <w:pPr>
        <w:spacing w:line="276" w:lineRule="auto"/>
        <w:jc w:val="both"/>
        <w:rPr>
          <w:szCs w:val="22"/>
        </w:rPr>
      </w:pPr>
    </w:p>
    <w:p w14:paraId="62201ABB" w14:textId="04F26755" w:rsidR="00342AFE" w:rsidRPr="008E6837" w:rsidRDefault="008E6837" w:rsidP="00342AFE">
      <w:pPr>
        <w:spacing w:line="276" w:lineRule="auto"/>
        <w:jc w:val="both"/>
        <w:rPr>
          <w:b/>
          <w:bCs/>
          <w:szCs w:val="22"/>
        </w:rPr>
      </w:pPr>
      <w:r w:rsidRPr="008E6837">
        <w:rPr>
          <w:b/>
          <w:bCs/>
          <w:szCs w:val="22"/>
        </w:rPr>
        <w:t>1.2 Condições do</w:t>
      </w:r>
      <w:r w:rsidR="00342AFE" w:rsidRPr="008E6837">
        <w:rPr>
          <w:b/>
          <w:bCs/>
          <w:szCs w:val="22"/>
        </w:rPr>
        <w:t xml:space="preserve"> </w:t>
      </w:r>
      <w:r w:rsidRPr="008E6837">
        <w:rPr>
          <w:b/>
          <w:bCs/>
          <w:szCs w:val="22"/>
        </w:rPr>
        <w:t>O</w:t>
      </w:r>
      <w:r w:rsidR="00342AFE" w:rsidRPr="008E6837">
        <w:rPr>
          <w:b/>
          <w:bCs/>
          <w:szCs w:val="22"/>
        </w:rPr>
        <w:t xml:space="preserve">bjeto da </w:t>
      </w:r>
      <w:r w:rsidRPr="008E6837">
        <w:rPr>
          <w:b/>
          <w:bCs/>
          <w:szCs w:val="22"/>
        </w:rPr>
        <w:t>C</w:t>
      </w:r>
      <w:r w:rsidR="00342AFE" w:rsidRPr="008E6837">
        <w:rPr>
          <w:b/>
          <w:bCs/>
          <w:szCs w:val="22"/>
        </w:rPr>
        <w:t xml:space="preserve">ontratação </w:t>
      </w:r>
    </w:p>
    <w:p w14:paraId="280DF10B" w14:textId="0095CC47" w:rsidR="008E6837" w:rsidRPr="006C7919" w:rsidRDefault="008E6837" w:rsidP="00E56E9C">
      <w:pPr>
        <w:spacing w:line="276" w:lineRule="auto"/>
        <w:jc w:val="both"/>
        <w:rPr>
          <w:szCs w:val="22"/>
        </w:rPr>
      </w:pPr>
      <w:r w:rsidRPr="008E6837">
        <w:rPr>
          <w:szCs w:val="22"/>
        </w:rPr>
        <w:t xml:space="preserve">PRAZO DE ENTREGA: </w:t>
      </w:r>
      <w:r w:rsidR="006C7919" w:rsidRPr="006C7919">
        <w:rPr>
          <w:bCs/>
        </w:rPr>
        <w:t>Os serviços deverão iniciar em até 48 horas após o recebimento do empenho e/ou assinatura do contrato.</w:t>
      </w:r>
    </w:p>
    <w:p w14:paraId="3AAA9787" w14:textId="4B75DCD5" w:rsidR="00E56E9C" w:rsidRPr="006C7919" w:rsidRDefault="008E6837" w:rsidP="00E56E9C">
      <w:pPr>
        <w:spacing w:line="276" w:lineRule="auto"/>
        <w:jc w:val="both"/>
        <w:rPr>
          <w:szCs w:val="22"/>
        </w:rPr>
      </w:pPr>
      <w:r w:rsidRPr="006C7919">
        <w:rPr>
          <w:szCs w:val="22"/>
        </w:rPr>
        <w:t>LOCAL DA ENTREGA/EXECUÇÃO</w:t>
      </w:r>
      <w:r w:rsidR="00342AFE" w:rsidRPr="006C7919">
        <w:rPr>
          <w:szCs w:val="22"/>
        </w:rPr>
        <w:t xml:space="preserve">: </w:t>
      </w:r>
      <w:r w:rsidR="006C7919" w:rsidRPr="006C7919">
        <w:t>O servidor deverá disponibilizar acesso remoto na máquina em que estiver o certificado digital com acesso GOVBR.</w:t>
      </w:r>
    </w:p>
    <w:p w14:paraId="15DCF67E" w14:textId="77777777" w:rsidR="00237F4C" w:rsidRPr="00425814" w:rsidRDefault="00237F4C" w:rsidP="00DF4AC7">
      <w:pPr>
        <w:spacing w:line="276" w:lineRule="auto"/>
        <w:jc w:val="both"/>
        <w:rPr>
          <w:szCs w:val="22"/>
        </w:rPr>
      </w:pPr>
    </w:p>
    <w:bookmarkEnd w:id="0"/>
    <w:p w14:paraId="0B12F2F1" w14:textId="0C830FE8" w:rsidR="00D008B8" w:rsidRPr="00425814" w:rsidRDefault="00825E47" w:rsidP="00DF4AC7">
      <w:pPr>
        <w:spacing w:line="276" w:lineRule="auto"/>
        <w:jc w:val="both"/>
        <w:rPr>
          <w:b/>
          <w:bCs/>
          <w:szCs w:val="22"/>
        </w:rPr>
      </w:pPr>
      <w:r w:rsidRPr="00425814">
        <w:rPr>
          <w:b/>
          <w:bCs/>
          <w:szCs w:val="22"/>
        </w:rPr>
        <w:t xml:space="preserve">2. </w:t>
      </w:r>
      <w:r w:rsidR="00F10A7D" w:rsidRPr="00425814">
        <w:rPr>
          <w:b/>
          <w:bCs/>
          <w:szCs w:val="22"/>
        </w:rPr>
        <w:t>ALINHAMENTO ENTRE A CONTRATAÇÃO E O PLANEJAMENTO</w:t>
      </w:r>
    </w:p>
    <w:p w14:paraId="2F88CE9B" w14:textId="59DB588D" w:rsidR="00825E47" w:rsidRPr="00425814" w:rsidRDefault="00825E47" w:rsidP="00DF4AC7">
      <w:pPr>
        <w:spacing w:line="276" w:lineRule="auto"/>
        <w:jc w:val="both"/>
        <w:rPr>
          <w:szCs w:val="22"/>
        </w:rPr>
      </w:pPr>
      <w:r w:rsidRPr="00425814">
        <w:rPr>
          <w:szCs w:val="22"/>
        </w:rPr>
        <w:t xml:space="preserve">A contratação pretendida </w:t>
      </w:r>
      <w:r w:rsidR="00D31BAD" w:rsidRPr="00425814">
        <w:rPr>
          <w:szCs w:val="22"/>
        </w:rPr>
        <w:t>está prevista no Plano de Contratações Anual do Município de</w:t>
      </w:r>
      <w:r w:rsidR="002664D0" w:rsidRPr="00425814">
        <w:rPr>
          <w:szCs w:val="22"/>
        </w:rPr>
        <w:t xml:space="preserve"> </w:t>
      </w:r>
      <w:r w:rsidR="001F7082" w:rsidRPr="00425814">
        <w:rPr>
          <w:szCs w:val="22"/>
        </w:rPr>
        <w:t>Miraguaí</w:t>
      </w:r>
      <w:r w:rsidR="00D31BAD" w:rsidRPr="00425814">
        <w:rPr>
          <w:szCs w:val="22"/>
        </w:rPr>
        <w:t>,</w:t>
      </w:r>
      <w:r w:rsidR="00F10A7D" w:rsidRPr="00425814">
        <w:rPr>
          <w:szCs w:val="22"/>
        </w:rPr>
        <w:t xml:space="preserve"> como se vê do item</w:t>
      </w:r>
      <w:r w:rsidR="00813C3A" w:rsidRPr="00425814">
        <w:rPr>
          <w:szCs w:val="22"/>
        </w:rPr>
        <w:t xml:space="preserve"> </w:t>
      </w:r>
      <w:r w:rsidR="008E6837">
        <w:rPr>
          <w:szCs w:val="22"/>
        </w:rPr>
        <w:t>“</w:t>
      </w:r>
      <w:r w:rsidR="006C7919">
        <w:rPr>
          <w:szCs w:val="22"/>
        </w:rPr>
        <w:t>99</w:t>
      </w:r>
      <w:r w:rsidR="008E6837">
        <w:rPr>
          <w:szCs w:val="22"/>
        </w:rPr>
        <w:t>”</w:t>
      </w:r>
      <w:r w:rsidR="00CA1C8D">
        <w:rPr>
          <w:szCs w:val="22"/>
        </w:rPr>
        <w:t xml:space="preserve"> </w:t>
      </w:r>
      <w:r w:rsidR="00813C3A" w:rsidRPr="00425814">
        <w:rPr>
          <w:szCs w:val="22"/>
        </w:rPr>
        <w:t>daquele documento,</w:t>
      </w:r>
      <w:r w:rsidR="00D31BAD" w:rsidRPr="00425814">
        <w:rPr>
          <w:szCs w:val="22"/>
        </w:rPr>
        <w:t xml:space="preserve"> estando assim alinhada com o planejamento desta Administração.</w:t>
      </w:r>
    </w:p>
    <w:p w14:paraId="37F605BF" w14:textId="77777777" w:rsidR="00962245" w:rsidRPr="00425814" w:rsidRDefault="00962245" w:rsidP="00DF4AC7">
      <w:pPr>
        <w:spacing w:line="276" w:lineRule="auto"/>
        <w:jc w:val="both"/>
        <w:rPr>
          <w:b/>
          <w:bCs/>
          <w:szCs w:val="22"/>
        </w:rPr>
      </w:pPr>
    </w:p>
    <w:p w14:paraId="31FE7DC5" w14:textId="167F97FA" w:rsidR="00D31BAD" w:rsidRPr="000F51ED" w:rsidRDefault="00D31BAD" w:rsidP="00DF4AC7">
      <w:pPr>
        <w:spacing w:line="276" w:lineRule="auto"/>
        <w:jc w:val="both"/>
        <w:rPr>
          <w:b/>
          <w:bCs/>
          <w:szCs w:val="22"/>
        </w:rPr>
      </w:pPr>
      <w:r w:rsidRPr="00425814">
        <w:rPr>
          <w:b/>
          <w:bCs/>
          <w:szCs w:val="22"/>
        </w:rPr>
        <w:t xml:space="preserve">3. </w:t>
      </w:r>
      <w:r w:rsidRPr="000F51ED">
        <w:rPr>
          <w:b/>
          <w:bCs/>
          <w:szCs w:val="22"/>
        </w:rPr>
        <w:t>DESCRIÇÃO DOS REQUISITOS DA CONTRATAÇÃO</w:t>
      </w:r>
    </w:p>
    <w:p w14:paraId="69FCE2D7" w14:textId="5F3CF911" w:rsidR="00063E86" w:rsidRPr="000F51ED" w:rsidRDefault="00063E86" w:rsidP="00DF4AC7">
      <w:pPr>
        <w:spacing w:line="276" w:lineRule="auto"/>
        <w:jc w:val="both"/>
        <w:rPr>
          <w:szCs w:val="22"/>
        </w:rPr>
      </w:pPr>
      <w:r w:rsidRPr="000F51ED">
        <w:rPr>
          <w:szCs w:val="22"/>
        </w:rPr>
        <w:t xml:space="preserve">A contratação será realizada por meio de </w:t>
      </w:r>
      <w:r w:rsidR="00EC21C1" w:rsidRPr="000F51ED">
        <w:rPr>
          <w:szCs w:val="22"/>
        </w:rPr>
        <w:t>Inexigibilidade</w:t>
      </w:r>
      <w:r w:rsidRPr="000F51ED">
        <w:rPr>
          <w:szCs w:val="22"/>
        </w:rPr>
        <w:t xml:space="preserve"> de Licitação nos termos do </w:t>
      </w:r>
      <w:r w:rsidR="00C50C7F" w:rsidRPr="000F51ED">
        <w:rPr>
          <w:szCs w:val="22"/>
        </w:rPr>
        <w:t xml:space="preserve">CAPUT do </w:t>
      </w:r>
      <w:r w:rsidRPr="000F51ED">
        <w:rPr>
          <w:szCs w:val="22"/>
        </w:rPr>
        <w:t>artigo 7</w:t>
      </w:r>
      <w:r w:rsidR="00C50C7F" w:rsidRPr="000F51ED">
        <w:rPr>
          <w:szCs w:val="22"/>
        </w:rPr>
        <w:t>4</w:t>
      </w:r>
      <w:r w:rsidRPr="000F51ED">
        <w:rPr>
          <w:szCs w:val="22"/>
        </w:rPr>
        <w:t>,</w:t>
      </w:r>
      <w:r w:rsidR="00C50C7F" w:rsidRPr="000F51ED">
        <w:rPr>
          <w:szCs w:val="22"/>
        </w:rPr>
        <w:t xml:space="preserve"> </w:t>
      </w:r>
      <w:r w:rsidRPr="000F51ED">
        <w:rPr>
          <w:szCs w:val="22"/>
        </w:rPr>
        <w:t>da Lei Federal nº 14.133/2021.</w:t>
      </w:r>
    </w:p>
    <w:p w14:paraId="25974C2A" w14:textId="1A21B6FB" w:rsidR="00063E86" w:rsidRPr="00425814" w:rsidRDefault="00063E86" w:rsidP="00DF4AC7">
      <w:pPr>
        <w:spacing w:line="276" w:lineRule="auto"/>
        <w:jc w:val="both"/>
        <w:rPr>
          <w:szCs w:val="22"/>
        </w:rPr>
      </w:pPr>
      <w:r w:rsidRPr="000F51ED">
        <w:rPr>
          <w:szCs w:val="22"/>
        </w:rPr>
        <w:t xml:space="preserve">Para a </w:t>
      </w:r>
      <w:r w:rsidR="00DB21E4" w:rsidRPr="000F51ED">
        <w:rPr>
          <w:szCs w:val="22"/>
        </w:rPr>
        <w:t>contratação</w:t>
      </w:r>
      <w:r w:rsidRPr="00425814">
        <w:rPr>
          <w:szCs w:val="22"/>
        </w:rPr>
        <w:t xml:space="preserve"> pretendida a empresa deverá comprovar que atua em ramo de atividade compatível com o objeto da </w:t>
      </w:r>
      <w:r w:rsidR="00DF1A43">
        <w:rPr>
          <w:szCs w:val="22"/>
        </w:rPr>
        <w:t>contratação</w:t>
      </w:r>
      <w:r w:rsidRPr="00425814">
        <w:rPr>
          <w:szCs w:val="22"/>
        </w:rPr>
        <w:t>, bem como apresentar os seguintes documentos a título habilitação, nos termos do art. 62 e seguintes da Lei Federal nº 14.133/2021:</w:t>
      </w:r>
    </w:p>
    <w:p w14:paraId="3851BCFA" w14:textId="77777777" w:rsidR="00063E86" w:rsidRPr="00425814" w:rsidRDefault="00063E86" w:rsidP="00DF4AC7">
      <w:pPr>
        <w:spacing w:line="276" w:lineRule="auto"/>
        <w:jc w:val="both"/>
        <w:rPr>
          <w:szCs w:val="22"/>
        </w:rPr>
      </w:pPr>
    </w:p>
    <w:p w14:paraId="32CB94DE" w14:textId="77777777" w:rsidR="00063E86" w:rsidRPr="00425814" w:rsidRDefault="00063E86" w:rsidP="00DF4AC7">
      <w:pPr>
        <w:spacing w:line="276" w:lineRule="auto"/>
        <w:jc w:val="both"/>
        <w:rPr>
          <w:szCs w:val="22"/>
        </w:rPr>
      </w:pPr>
      <w:r w:rsidRPr="00425814">
        <w:rPr>
          <w:szCs w:val="22"/>
        </w:rPr>
        <w:t>HABILITAÇÃO JURÍDICA</w:t>
      </w:r>
    </w:p>
    <w:p w14:paraId="471ADE84" w14:textId="77777777" w:rsidR="00063E86" w:rsidRPr="00425814" w:rsidRDefault="00063E86" w:rsidP="00DF4AC7">
      <w:pPr>
        <w:spacing w:line="276" w:lineRule="auto"/>
        <w:jc w:val="both"/>
        <w:rPr>
          <w:szCs w:val="22"/>
        </w:rPr>
      </w:pPr>
      <w:r w:rsidRPr="00425814">
        <w:rPr>
          <w:szCs w:val="22"/>
        </w:rPr>
        <w:t>a) cópia do registro comercial, no caso de empresa individual;</w:t>
      </w:r>
    </w:p>
    <w:p w14:paraId="6CD74DEF" w14:textId="77777777" w:rsidR="00063E86" w:rsidRPr="00425814" w:rsidRDefault="00063E86" w:rsidP="00DF4AC7">
      <w:pPr>
        <w:spacing w:line="276" w:lineRule="auto"/>
        <w:jc w:val="both"/>
        <w:rPr>
          <w:szCs w:val="22"/>
        </w:rPr>
      </w:pPr>
      <w:r w:rsidRPr="00425814">
        <w:rPr>
          <w:szCs w:val="22"/>
        </w:rPr>
        <w:t>b) cópia do ato constitutivo, estatuto ou contrato social em vigor, devidamente registrado, em se tratando de sociedades comerciais, e, no caso de sociedade por ações, acompanhado de documentos de eleição de seus administradores;</w:t>
      </w:r>
    </w:p>
    <w:p w14:paraId="1AD5BDD1" w14:textId="77777777" w:rsidR="00063E86" w:rsidRPr="00425814" w:rsidRDefault="00063E86" w:rsidP="00DF4AC7">
      <w:pPr>
        <w:spacing w:line="276" w:lineRule="auto"/>
        <w:jc w:val="both"/>
        <w:rPr>
          <w:szCs w:val="22"/>
        </w:rPr>
      </w:pPr>
      <w:r w:rsidRPr="00425814">
        <w:rPr>
          <w:szCs w:val="22"/>
        </w:rPr>
        <w:t>c) comprovante de inscrição no Cadastro Nacional de Pessoa Física (CPF), se o licitante for pessoa natural, ou no Cadastro Nacional da Pessoa Jurídica (CNPJ/MF), se o licitante for pessoa jurídica;</w:t>
      </w:r>
    </w:p>
    <w:p w14:paraId="14DFB54C" w14:textId="77777777" w:rsidR="00063E86" w:rsidRPr="00425814" w:rsidRDefault="00063E86" w:rsidP="00DF4AC7">
      <w:pPr>
        <w:spacing w:line="276" w:lineRule="auto"/>
        <w:jc w:val="both"/>
        <w:rPr>
          <w:szCs w:val="22"/>
        </w:rPr>
      </w:pPr>
      <w:r w:rsidRPr="00425814">
        <w:rPr>
          <w:szCs w:val="22"/>
        </w:rPr>
        <w:t>d) cópia do decreto de autorização, em se tratando de empresa ou sociedade estrangeira em funcionamento no País, e ato de registro ou autorização para funcionamento expedido pelo órgão competente, quando a atividade assim o exigir.</w:t>
      </w:r>
    </w:p>
    <w:p w14:paraId="76B5E010" w14:textId="77777777" w:rsidR="00C6593F" w:rsidRPr="00425814" w:rsidRDefault="00C6593F" w:rsidP="00DF4AC7">
      <w:pPr>
        <w:spacing w:line="276" w:lineRule="auto"/>
        <w:jc w:val="both"/>
        <w:rPr>
          <w:szCs w:val="22"/>
        </w:rPr>
      </w:pPr>
    </w:p>
    <w:p w14:paraId="205D94B0" w14:textId="3622F8F7" w:rsidR="00063E86" w:rsidRPr="00425814" w:rsidRDefault="00063E86" w:rsidP="00DF4AC7">
      <w:pPr>
        <w:spacing w:line="276" w:lineRule="auto"/>
        <w:jc w:val="both"/>
        <w:rPr>
          <w:szCs w:val="22"/>
        </w:rPr>
      </w:pPr>
      <w:r w:rsidRPr="00425814">
        <w:rPr>
          <w:szCs w:val="22"/>
        </w:rPr>
        <w:t>HABILITAÇÃO FISCAL, SOCIAL E TRABALHISTA</w:t>
      </w:r>
    </w:p>
    <w:p w14:paraId="411DEE44" w14:textId="77777777" w:rsidR="00063E86" w:rsidRPr="00425814" w:rsidRDefault="00063E86" w:rsidP="00DF4AC7">
      <w:pPr>
        <w:spacing w:line="276" w:lineRule="auto"/>
        <w:jc w:val="both"/>
        <w:rPr>
          <w:szCs w:val="22"/>
        </w:rPr>
      </w:pPr>
      <w:r w:rsidRPr="00425814">
        <w:rPr>
          <w:szCs w:val="22"/>
        </w:rPr>
        <w:t>a) comprovante de inscrição no cadastro de contribuintes estadual e/ou municipal, se houver, relativo ao domicílio ou sede do licitante, pertinente ao seu ramo de atividade e compatível com o objeto contratual;</w:t>
      </w:r>
    </w:p>
    <w:p w14:paraId="344A87BC" w14:textId="77777777" w:rsidR="00063E86" w:rsidRPr="00425814" w:rsidRDefault="00063E86" w:rsidP="00DF4AC7">
      <w:pPr>
        <w:spacing w:line="276" w:lineRule="auto"/>
        <w:jc w:val="both"/>
        <w:rPr>
          <w:szCs w:val="22"/>
        </w:rPr>
      </w:pPr>
      <w:r w:rsidRPr="00425814">
        <w:rPr>
          <w:szCs w:val="22"/>
        </w:rPr>
        <w:lastRenderedPageBreak/>
        <w:t>b) prova de regularidade perante a Fazenda federal, estadual e/ou municipal do domicílio ou sede do licitante;</w:t>
      </w:r>
    </w:p>
    <w:p w14:paraId="2A4619C1" w14:textId="77777777" w:rsidR="00063E86" w:rsidRPr="00425814" w:rsidRDefault="00063E86" w:rsidP="00DF4AC7">
      <w:pPr>
        <w:spacing w:line="276" w:lineRule="auto"/>
        <w:jc w:val="both"/>
        <w:rPr>
          <w:szCs w:val="22"/>
        </w:rPr>
      </w:pPr>
      <w:r w:rsidRPr="00425814">
        <w:rPr>
          <w:szCs w:val="22"/>
        </w:rPr>
        <w:t>c) prova de regularidade relativa à Seguridade Social e ao FGTS, que demonstre cumprimento dos encargos sociais instituídos por lei;</w:t>
      </w:r>
    </w:p>
    <w:p w14:paraId="5E56CE83" w14:textId="77777777" w:rsidR="00063E86" w:rsidRPr="00425814" w:rsidRDefault="00063E86" w:rsidP="00DF4AC7">
      <w:pPr>
        <w:spacing w:line="276" w:lineRule="auto"/>
        <w:jc w:val="both"/>
        <w:rPr>
          <w:szCs w:val="22"/>
        </w:rPr>
      </w:pPr>
      <w:r w:rsidRPr="00425814">
        <w:rPr>
          <w:szCs w:val="22"/>
        </w:rPr>
        <w:t>d) prova de regularidade perante a Justiça do Trabalho.</w:t>
      </w:r>
    </w:p>
    <w:p w14:paraId="433D69C8" w14:textId="77777777" w:rsidR="00063E86" w:rsidRPr="00425814" w:rsidRDefault="00063E86" w:rsidP="00DF4AC7">
      <w:pPr>
        <w:spacing w:line="276" w:lineRule="auto"/>
        <w:jc w:val="both"/>
        <w:rPr>
          <w:szCs w:val="22"/>
        </w:rPr>
      </w:pPr>
    </w:p>
    <w:p w14:paraId="260FF09B" w14:textId="77777777" w:rsidR="00063E86" w:rsidRPr="00425814" w:rsidRDefault="00063E86" w:rsidP="00DF4AC7">
      <w:pPr>
        <w:spacing w:line="276" w:lineRule="auto"/>
        <w:jc w:val="both"/>
        <w:rPr>
          <w:szCs w:val="22"/>
        </w:rPr>
      </w:pPr>
      <w:r w:rsidRPr="00425814">
        <w:rPr>
          <w:szCs w:val="22"/>
        </w:rPr>
        <w:t>HABILITAÇÃO ECONÔMICO-FINANCEIRA:</w:t>
      </w:r>
    </w:p>
    <w:p w14:paraId="4EB0F51A" w14:textId="60C22A43" w:rsidR="00B5299D" w:rsidRDefault="00F632D7" w:rsidP="00F632D7">
      <w:pPr>
        <w:spacing w:line="276" w:lineRule="auto"/>
        <w:jc w:val="both"/>
        <w:rPr>
          <w:szCs w:val="22"/>
        </w:rPr>
      </w:pPr>
      <w:r>
        <w:rPr>
          <w:szCs w:val="22"/>
        </w:rPr>
        <w:t xml:space="preserve">a) </w:t>
      </w:r>
      <w:r w:rsidR="00063E86" w:rsidRPr="00F632D7">
        <w:rPr>
          <w:szCs w:val="22"/>
        </w:rPr>
        <w:t xml:space="preserve">certidão negativa de falência expedida pelo distribuidor da sede da pessoa jurídica, em </w:t>
      </w:r>
      <w:r w:rsidRPr="00F632D7">
        <w:rPr>
          <w:szCs w:val="22"/>
        </w:rPr>
        <w:t>prazo não superior a 90 dias da data designada para a apresentação do documento.</w:t>
      </w:r>
    </w:p>
    <w:p w14:paraId="075EF3F8" w14:textId="77777777" w:rsidR="00F632D7" w:rsidRPr="00F632D7" w:rsidRDefault="00F632D7" w:rsidP="00F632D7">
      <w:pPr>
        <w:spacing w:line="276" w:lineRule="auto"/>
        <w:jc w:val="both"/>
        <w:rPr>
          <w:szCs w:val="22"/>
        </w:rPr>
      </w:pPr>
    </w:p>
    <w:p w14:paraId="75B7B2DF" w14:textId="77777777" w:rsidR="00B5299D" w:rsidRPr="00B5299D" w:rsidRDefault="00B5299D" w:rsidP="00B5299D">
      <w:pPr>
        <w:spacing w:line="276" w:lineRule="auto"/>
        <w:jc w:val="both"/>
        <w:rPr>
          <w:szCs w:val="22"/>
        </w:rPr>
      </w:pPr>
      <w:r w:rsidRPr="00B5299D">
        <w:rPr>
          <w:szCs w:val="22"/>
        </w:rPr>
        <w:t>DECLARAÇÃO:</w:t>
      </w:r>
    </w:p>
    <w:p w14:paraId="2072D793" w14:textId="2AD8DD81" w:rsidR="00B5299D" w:rsidRPr="00B5299D" w:rsidRDefault="00B5299D" w:rsidP="00B5299D">
      <w:pPr>
        <w:spacing w:line="276" w:lineRule="auto"/>
        <w:jc w:val="both"/>
        <w:rPr>
          <w:bCs/>
          <w:szCs w:val="22"/>
        </w:rPr>
      </w:pPr>
      <w:r w:rsidRPr="00B5299D">
        <w:rPr>
          <w:bCs/>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2E0EA6F8" w14:textId="77777777" w:rsidR="00DB21E4" w:rsidRPr="00425814" w:rsidRDefault="00DB21E4" w:rsidP="00DF4AC7">
      <w:pPr>
        <w:spacing w:line="276" w:lineRule="auto"/>
        <w:jc w:val="both"/>
        <w:rPr>
          <w:szCs w:val="22"/>
        </w:rPr>
      </w:pPr>
    </w:p>
    <w:p w14:paraId="2672CE4E" w14:textId="2D6B72F3" w:rsidR="00A01736" w:rsidRPr="00425814" w:rsidRDefault="00EB0EA8" w:rsidP="00DF4AC7">
      <w:pPr>
        <w:spacing w:line="276" w:lineRule="auto"/>
        <w:jc w:val="both"/>
        <w:rPr>
          <w:b/>
          <w:bCs/>
          <w:szCs w:val="22"/>
        </w:rPr>
      </w:pPr>
      <w:r w:rsidRPr="00425814">
        <w:rPr>
          <w:b/>
          <w:bCs/>
          <w:szCs w:val="22"/>
        </w:rPr>
        <w:t>4. ESTIMATIVA DAS QUANTIDADES</w:t>
      </w:r>
    </w:p>
    <w:p w14:paraId="56D30F5D" w14:textId="06E6C159" w:rsidR="00B5299D" w:rsidRPr="00B5299D" w:rsidRDefault="006C7919" w:rsidP="00B5299D">
      <w:pPr>
        <w:spacing w:line="276" w:lineRule="auto"/>
        <w:jc w:val="both"/>
        <w:rPr>
          <w:szCs w:val="22"/>
        </w:rPr>
      </w:pPr>
      <w:r w:rsidRPr="006C7919">
        <w:rPr>
          <w:szCs w:val="22"/>
        </w:rPr>
        <w:t>A estimativa quantitativa dos serviços foi estabelecida com base na demanda contínua de suporte técnico especializado necessário para atendimento das obrigações legais do Município, considerando a periodicidade das remessas, prestações de contas e informações obrigatórias encaminhadas aos órgãos competentes</w:t>
      </w:r>
      <w:r w:rsidR="00B4358F">
        <w:rPr>
          <w:szCs w:val="22"/>
        </w:rPr>
        <w:t>.</w:t>
      </w:r>
    </w:p>
    <w:p w14:paraId="60820416" w14:textId="77777777" w:rsidR="0002202A" w:rsidRPr="00425814" w:rsidRDefault="0002202A" w:rsidP="00DF4AC7">
      <w:pPr>
        <w:spacing w:line="276" w:lineRule="auto"/>
        <w:ind w:firstLine="708"/>
        <w:jc w:val="both"/>
        <w:rPr>
          <w:szCs w:val="22"/>
        </w:rPr>
      </w:pPr>
    </w:p>
    <w:p w14:paraId="1914172A" w14:textId="0E25A175" w:rsidR="006A15A0" w:rsidRPr="00425814" w:rsidRDefault="00E40AD7" w:rsidP="00DF4AC7">
      <w:pPr>
        <w:spacing w:line="276" w:lineRule="auto"/>
        <w:jc w:val="both"/>
        <w:rPr>
          <w:b/>
          <w:bCs/>
          <w:szCs w:val="22"/>
        </w:rPr>
      </w:pPr>
      <w:r w:rsidRPr="00425814">
        <w:rPr>
          <w:b/>
          <w:bCs/>
          <w:szCs w:val="22"/>
        </w:rPr>
        <w:t>5. ALTERNATIVAS DISPONÍVEIS NO MERCADO</w:t>
      </w:r>
    </w:p>
    <w:p w14:paraId="25506BA8" w14:textId="0922F495" w:rsidR="00B4358F" w:rsidRPr="00B4358F" w:rsidRDefault="006C7919" w:rsidP="00B4358F">
      <w:pPr>
        <w:spacing w:line="276" w:lineRule="auto"/>
        <w:jc w:val="both"/>
        <w:rPr>
          <w:szCs w:val="22"/>
        </w:rPr>
      </w:pPr>
      <w:r>
        <w:rPr>
          <w:szCs w:val="22"/>
        </w:rPr>
        <w:t>A c</w:t>
      </w:r>
      <w:r w:rsidRPr="006C7919">
        <w:rPr>
          <w:szCs w:val="22"/>
        </w:rPr>
        <w:t>ontratação de empresa especializada revela-se a alternativa mais adequada e vantajosa para a Administração, tendo em vista a necessidade de suporte técnico contínuo, redução de riscos de inconsistências e apontamentos pelos órgãos de controle, maior segurança no cumprimento dos prazos legais e apoio técnico aos servidores municipais no desempenho das atividades relacionadas às entregas legais e prestações de contas</w:t>
      </w:r>
      <w:r w:rsidR="00B4358F" w:rsidRPr="00B4358F">
        <w:rPr>
          <w:szCs w:val="22"/>
        </w:rPr>
        <w:t>, justifica-se a celebração de contrato por inexigibilidade de licitação, com fundamento no caput do art. 74, da Lei nº 14.133/2021, que trata da inviabilidade de competição em contratações de natureza singular.</w:t>
      </w:r>
    </w:p>
    <w:p w14:paraId="0795FE3B" w14:textId="77777777" w:rsidR="00B4358F" w:rsidRDefault="00B4358F" w:rsidP="00DF4AC7">
      <w:pPr>
        <w:spacing w:line="276" w:lineRule="auto"/>
        <w:jc w:val="both"/>
        <w:rPr>
          <w:szCs w:val="22"/>
        </w:rPr>
      </w:pPr>
    </w:p>
    <w:p w14:paraId="657E18C3" w14:textId="302B48D6" w:rsidR="00EA3EFC" w:rsidRPr="00B4358F" w:rsidRDefault="00E40AD7" w:rsidP="00DF4AC7">
      <w:pPr>
        <w:spacing w:line="276" w:lineRule="auto"/>
        <w:jc w:val="both"/>
        <w:rPr>
          <w:szCs w:val="22"/>
        </w:rPr>
      </w:pPr>
      <w:r w:rsidRPr="00AF6450">
        <w:rPr>
          <w:b/>
          <w:bCs/>
          <w:szCs w:val="22"/>
        </w:rPr>
        <w:t>6. ESTIMATIVA DO VALOR DA CONTRATAÇÃO</w:t>
      </w:r>
    </w:p>
    <w:p w14:paraId="6E1A6241" w14:textId="77777777" w:rsidR="00AF6450" w:rsidRDefault="00AF6450" w:rsidP="00623217">
      <w:pPr>
        <w:jc w:val="both"/>
        <w:rPr>
          <w:rFonts w:eastAsia="Arial"/>
          <w:kern w:val="2"/>
          <w:szCs w:val="22"/>
          <w:lang w:eastAsia="pt-BR"/>
          <w14:ligatures w14:val="standardContextual"/>
        </w:rPr>
      </w:pPr>
    </w:p>
    <w:p w14:paraId="6276298C" w14:textId="77777777" w:rsidR="00AF6450" w:rsidRDefault="00AF6450" w:rsidP="00AF6450">
      <w:pPr>
        <w:jc w:val="both"/>
        <w:rPr>
          <w:rFonts w:eastAsia="Arial"/>
          <w:kern w:val="2"/>
          <w:szCs w:val="22"/>
          <w:lang w:eastAsia="pt-BR"/>
          <w14:ligatures w14:val="standardContextual"/>
        </w:rPr>
      </w:pPr>
      <w:r w:rsidRPr="00AF6450">
        <w:rPr>
          <w:rFonts w:eastAsia="Arial"/>
          <w:kern w:val="2"/>
          <w:szCs w:val="22"/>
          <w:lang w:eastAsia="pt-BR"/>
          <w14:ligatures w14:val="standardContextual"/>
        </w:rPr>
        <w:t xml:space="preserve">Visando fundamentar o valor a ser pago, foi realizada uma pesquisa de preços no Portal Licitacon, verificando contratações semelhantes. </w:t>
      </w:r>
    </w:p>
    <w:p w14:paraId="15196115" w14:textId="77777777" w:rsidR="005A3CC9" w:rsidRDefault="005A3CC9" w:rsidP="00AF6450">
      <w:pPr>
        <w:jc w:val="both"/>
        <w:rPr>
          <w:rFonts w:eastAsia="Arial"/>
          <w:kern w:val="2"/>
          <w:szCs w:val="22"/>
          <w:lang w:eastAsia="pt-BR"/>
          <w14:ligatures w14:val="standardContextual"/>
        </w:rPr>
      </w:pPr>
    </w:p>
    <w:tbl>
      <w:tblPr>
        <w:tblStyle w:val="Tabelacomgrade"/>
        <w:tblW w:w="0" w:type="auto"/>
        <w:tblLook w:val="04A0" w:firstRow="1" w:lastRow="0" w:firstColumn="1" w:lastColumn="0" w:noHBand="0" w:noVBand="1"/>
      </w:tblPr>
      <w:tblGrid>
        <w:gridCol w:w="704"/>
        <w:gridCol w:w="1134"/>
        <w:gridCol w:w="2835"/>
        <w:gridCol w:w="2803"/>
        <w:gridCol w:w="1870"/>
      </w:tblGrid>
      <w:tr w:rsidR="005A3CC9" w14:paraId="65E39DC0" w14:textId="77777777" w:rsidTr="005A3CC9">
        <w:tc>
          <w:tcPr>
            <w:tcW w:w="704" w:type="dxa"/>
            <w:vAlign w:val="center"/>
          </w:tcPr>
          <w:p w14:paraId="74A1D583" w14:textId="6DECB7DF" w:rsidR="005A3CC9" w:rsidRDefault="005A3CC9" w:rsidP="005A3CC9">
            <w:pPr>
              <w:jc w:val="both"/>
              <w:rPr>
                <w:rFonts w:eastAsia="Arial"/>
                <w:kern w:val="2"/>
                <w:szCs w:val="22"/>
                <w:lang w:eastAsia="pt-BR"/>
                <w14:ligatures w14:val="standardContextual"/>
              </w:rPr>
            </w:pPr>
            <w:r w:rsidRPr="00AF6450">
              <w:rPr>
                <w:rFonts w:eastAsia="Arial"/>
                <w:b/>
                <w:kern w:val="2"/>
                <w:szCs w:val="22"/>
                <w:lang w:eastAsia="pt-BR"/>
                <w14:ligatures w14:val="standardContextual"/>
              </w:rPr>
              <w:t>Item</w:t>
            </w:r>
          </w:p>
        </w:tc>
        <w:tc>
          <w:tcPr>
            <w:tcW w:w="1134" w:type="dxa"/>
            <w:vAlign w:val="center"/>
          </w:tcPr>
          <w:p w14:paraId="7F88EB09" w14:textId="2D56C7CB" w:rsidR="005A3CC9" w:rsidRDefault="005A3CC9" w:rsidP="005A3CC9">
            <w:pPr>
              <w:jc w:val="both"/>
              <w:rPr>
                <w:rFonts w:eastAsia="Arial"/>
                <w:kern w:val="2"/>
                <w:szCs w:val="22"/>
                <w:lang w:eastAsia="pt-BR"/>
                <w14:ligatures w14:val="standardContextual"/>
              </w:rPr>
            </w:pPr>
            <w:r w:rsidRPr="00AF6450">
              <w:rPr>
                <w:rFonts w:eastAsia="Arial"/>
                <w:b/>
                <w:kern w:val="2"/>
                <w:szCs w:val="22"/>
                <w:lang w:eastAsia="pt-BR"/>
                <w14:ligatures w14:val="standardContextual"/>
              </w:rPr>
              <w:t>Unid.</w:t>
            </w:r>
          </w:p>
        </w:tc>
        <w:tc>
          <w:tcPr>
            <w:tcW w:w="2835" w:type="dxa"/>
            <w:vAlign w:val="center"/>
          </w:tcPr>
          <w:p w14:paraId="42ADC090" w14:textId="753B923B" w:rsidR="005A3CC9" w:rsidRDefault="005A3CC9" w:rsidP="005A3CC9">
            <w:pPr>
              <w:jc w:val="both"/>
              <w:rPr>
                <w:rFonts w:eastAsia="Arial"/>
                <w:kern w:val="2"/>
                <w:szCs w:val="22"/>
                <w:lang w:eastAsia="pt-BR"/>
                <w14:ligatures w14:val="standardContextual"/>
              </w:rPr>
            </w:pPr>
            <w:r w:rsidRPr="00AF6450">
              <w:rPr>
                <w:rFonts w:eastAsia="Arial"/>
                <w:b/>
                <w:kern w:val="2"/>
                <w:szCs w:val="22"/>
                <w:lang w:eastAsia="pt-BR"/>
                <w14:ligatures w14:val="standardContextual"/>
              </w:rPr>
              <w:t>Especificação</w:t>
            </w:r>
          </w:p>
        </w:tc>
        <w:tc>
          <w:tcPr>
            <w:tcW w:w="2803" w:type="dxa"/>
          </w:tcPr>
          <w:p w14:paraId="1EC13DBD" w14:textId="0965D953" w:rsidR="005A3CC9" w:rsidRDefault="005A3CC9" w:rsidP="005A3CC9">
            <w:pPr>
              <w:jc w:val="both"/>
              <w:rPr>
                <w:rFonts w:eastAsia="Arial"/>
                <w:kern w:val="2"/>
                <w:szCs w:val="22"/>
                <w:lang w:eastAsia="pt-BR"/>
                <w14:ligatures w14:val="standardContextual"/>
              </w:rPr>
            </w:pPr>
            <w:r w:rsidRPr="00AF6450">
              <w:rPr>
                <w:rFonts w:eastAsia="Arial"/>
                <w:b/>
                <w:kern w:val="2"/>
                <w:szCs w:val="22"/>
                <w:lang w:eastAsia="pt-BR"/>
                <w14:ligatures w14:val="standardContextual"/>
              </w:rPr>
              <w:t>LICITACON</w:t>
            </w:r>
          </w:p>
        </w:tc>
        <w:tc>
          <w:tcPr>
            <w:tcW w:w="1870" w:type="dxa"/>
          </w:tcPr>
          <w:p w14:paraId="766A44F0" w14:textId="0B4CBC52" w:rsidR="005A3CC9" w:rsidRDefault="005A3CC9" w:rsidP="005A3CC9">
            <w:pPr>
              <w:jc w:val="both"/>
              <w:rPr>
                <w:rFonts w:eastAsia="Arial"/>
                <w:kern w:val="2"/>
                <w:szCs w:val="22"/>
                <w:lang w:eastAsia="pt-BR"/>
                <w14:ligatures w14:val="standardContextual"/>
              </w:rPr>
            </w:pPr>
            <w:r w:rsidRPr="00AF6450">
              <w:rPr>
                <w:rFonts w:eastAsia="Arial"/>
                <w:b/>
                <w:kern w:val="2"/>
                <w:szCs w:val="22"/>
                <w:lang w:eastAsia="pt-BR"/>
                <w14:ligatures w14:val="standardContextual"/>
              </w:rPr>
              <w:t>VALOR</w:t>
            </w:r>
            <w:r>
              <w:rPr>
                <w:rFonts w:eastAsia="Arial"/>
                <w:b/>
                <w:kern w:val="2"/>
                <w:szCs w:val="22"/>
                <w:lang w:eastAsia="pt-BR"/>
                <w14:ligatures w14:val="standardContextual"/>
              </w:rPr>
              <w:t xml:space="preserve"> R$</w:t>
            </w:r>
          </w:p>
        </w:tc>
      </w:tr>
      <w:tr w:rsidR="005A3CC9" w14:paraId="1CE9ABCF" w14:textId="77777777" w:rsidTr="005A3CC9">
        <w:trPr>
          <w:trHeight w:val="675"/>
        </w:trPr>
        <w:tc>
          <w:tcPr>
            <w:tcW w:w="704" w:type="dxa"/>
            <w:vMerge w:val="restart"/>
          </w:tcPr>
          <w:p w14:paraId="6827C49C" w14:textId="257D22FE" w:rsidR="005A3CC9" w:rsidRDefault="005A3CC9" w:rsidP="005A3CC9">
            <w:pPr>
              <w:jc w:val="both"/>
              <w:rPr>
                <w:rFonts w:eastAsia="Arial"/>
                <w:kern w:val="2"/>
                <w:szCs w:val="22"/>
                <w:lang w:eastAsia="pt-BR"/>
                <w14:ligatures w14:val="standardContextual"/>
              </w:rPr>
            </w:pPr>
            <w:r>
              <w:rPr>
                <w:rFonts w:eastAsia="Arial"/>
                <w:kern w:val="2"/>
                <w:szCs w:val="22"/>
                <w:lang w:eastAsia="pt-BR"/>
                <w14:ligatures w14:val="standardContextual"/>
              </w:rPr>
              <w:t>1</w:t>
            </w:r>
          </w:p>
        </w:tc>
        <w:tc>
          <w:tcPr>
            <w:tcW w:w="1134" w:type="dxa"/>
            <w:vMerge w:val="restart"/>
          </w:tcPr>
          <w:p w14:paraId="58AE8A29" w14:textId="3DD48A4B" w:rsidR="005A3CC9" w:rsidRDefault="005A3CC9" w:rsidP="005A3CC9">
            <w:pPr>
              <w:jc w:val="both"/>
              <w:rPr>
                <w:rFonts w:eastAsia="Arial"/>
                <w:kern w:val="2"/>
                <w:szCs w:val="22"/>
                <w:lang w:eastAsia="pt-BR"/>
                <w14:ligatures w14:val="standardContextual"/>
              </w:rPr>
            </w:pPr>
            <w:r>
              <w:rPr>
                <w:rFonts w:eastAsia="Arial"/>
                <w:kern w:val="2"/>
                <w:szCs w:val="22"/>
                <w:lang w:eastAsia="pt-BR"/>
                <w14:ligatures w14:val="standardContextual"/>
              </w:rPr>
              <w:t>Mês</w:t>
            </w:r>
          </w:p>
        </w:tc>
        <w:tc>
          <w:tcPr>
            <w:tcW w:w="2835" w:type="dxa"/>
            <w:vMerge w:val="restart"/>
          </w:tcPr>
          <w:p w14:paraId="3AF7198B" w14:textId="1EF3458C" w:rsidR="005A3CC9" w:rsidRDefault="005A3CC9" w:rsidP="005A3CC9">
            <w:pPr>
              <w:jc w:val="both"/>
              <w:rPr>
                <w:rFonts w:eastAsia="Arial"/>
                <w:kern w:val="2"/>
                <w:szCs w:val="22"/>
                <w:lang w:eastAsia="pt-BR"/>
                <w14:ligatures w14:val="standardContextual"/>
              </w:rPr>
            </w:pPr>
            <w:r w:rsidRPr="005A3CC9">
              <w:rPr>
                <w:bCs/>
                <w:color w:val="000000" w:themeColor="text1"/>
              </w:rPr>
              <w:t xml:space="preserve">Empresa para consultoria e assessoria direta para lançamentos e remessas das entregas legais emitidas pela </w:t>
            </w:r>
            <w:r w:rsidRPr="005A3CC9">
              <w:rPr>
                <w:bCs/>
                <w:color w:val="000000" w:themeColor="text1"/>
              </w:rPr>
              <w:lastRenderedPageBreak/>
              <w:t>contabilidade, administração e outros órgãos</w:t>
            </w:r>
            <w:r>
              <w:rPr>
                <w:bCs/>
                <w:color w:val="000000" w:themeColor="text1"/>
              </w:rPr>
              <w:t>.</w:t>
            </w:r>
          </w:p>
        </w:tc>
        <w:tc>
          <w:tcPr>
            <w:tcW w:w="2803" w:type="dxa"/>
          </w:tcPr>
          <w:p w14:paraId="349BAA63" w14:textId="1522FA9E" w:rsidR="005A3CC9" w:rsidRDefault="005A3CC9" w:rsidP="005A3CC9">
            <w:pPr>
              <w:jc w:val="both"/>
              <w:rPr>
                <w:rFonts w:eastAsia="Arial"/>
                <w:kern w:val="2"/>
                <w:szCs w:val="22"/>
                <w:lang w:eastAsia="pt-BR"/>
                <w14:ligatures w14:val="standardContextual"/>
              </w:rPr>
            </w:pPr>
            <w:r w:rsidRPr="005A3CC9">
              <w:rPr>
                <w:rFonts w:eastAsia="Arial"/>
                <w:b/>
                <w:bCs/>
                <w:kern w:val="2"/>
                <w:szCs w:val="22"/>
                <w:lang w:eastAsia="pt-BR"/>
                <w14:ligatures w14:val="standardContextual"/>
              </w:rPr>
              <w:lastRenderedPageBreak/>
              <w:t xml:space="preserve">Órgão : PM DE CHIAPETTA, Modalidade : Pregão Lei 14.133/21 Eletrônico, </w:t>
            </w:r>
            <w:proofErr w:type="spellStart"/>
            <w:r w:rsidRPr="005A3CC9">
              <w:rPr>
                <w:rFonts w:eastAsia="Arial"/>
                <w:b/>
                <w:bCs/>
                <w:kern w:val="2"/>
                <w:szCs w:val="22"/>
                <w:lang w:eastAsia="pt-BR"/>
                <w14:ligatures w14:val="standardContextual"/>
              </w:rPr>
              <w:t>Nr</w:t>
            </w:r>
            <w:proofErr w:type="spellEnd"/>
            <w:r w:rsidRPr="005A3CC9">
              <w:rPr>
                <w:rFonts w:eastAsia="Arial"/>
                <w:b/>
                <w:bCs/>
                <w:kern w:val="2"/>
                <w:szCs w:val="22"/>
                <w:lang w:eastAsia="pt-BR"/>
                <w14:ligatures w14:val="standardContextual"/>
              </w:rPr>
              <w:t xml:space="preserve">. : 12, Ano : 2025, Objeto : Compras e </w:t>
            </w:r>
            <w:r w:rsidRPr="005A3CC9">
              <w:rPr>
                <w:rFonts w:eastAsia="Arial"/>
                <w:b/>
                <w:bCs/>
                <w:kern w:val="2"/>
                <w:szCs w:val="22"/>
                <w:lang w:eastAsia="pt-BR"/>
                <w14:ligatures w14:val="standardContextual"/>
              </w:rPr>
              <w:lastRenderedPageBreak/>
              <w:t>Outros Serviços, Abertura : 15/09/2025</w:t>
            </w:r>
          </w:p>
        </w:tc>
        <w:tc>
          <w:tcPr>
            <w:tcW w:w="1870" w:type="dxa"/>
          </w:tcPr>
          <w:p w14:paraId="52E456FB" w14:textId="38A5136F" w:rsidR="005A3CC9" w:rsidRDefault="005A3CC9" w:rsidP="005A3CC9">
            <w:pPr>
              <w:jc w:val="both"/>
              <w:rPr>
                <w:rFonts w:eastAsia="Arial"/>
                <w:kern w:val="2"/>
                <w:szCs w:val="22"/>
                <w:lang w:eastAsia="pt-BR"/>
                <w14:ligatures w14:val="standardContextual"/>
              </w:rPr>
            </w:pPr>
            <w:r>
              <w:rPr>
                <w:rFonts w:eastAsia="Arial"/>
                <w:kern w:val="2"/>
                <w:szCs w:val="22"/>
                <w:lang w:eastAsia="pt-BR"/>
                <w14:ligatures w14:val="standardContextual"/>
              </w:rPr>
              <w:lastRenderedPageBreak/>
              <w:t>12.725,00</w:t>
            </w:r>
          </w:p>
        </w:tc>
      </w:tr>
      <w:tr w:rsidR="005A3CC9" w14:paraId="2440647A" w14:textId="77777777" w:rsidTr="005A3CC9">
        <w:trPr>
          <w:trHeight w:val="675"/>
        </w:trPr>
        <w:tc>
          <w:tcPr>
            <w:tcW w:w="704" w:type="dxa"/>
            <w:vMerge/>
          </w:tcPr>
          <w:p w14:paraId="17BC2CE6" w14:textId="77777777" w:rsidR="005A3CC9" w:rsidRDefault="005A3CC9" w:rsidP="005A3CC9">
            <w:pPr>
              <w:jc w:val="both"/>
              <w:rPr>
                <w:rFonts w:eastAsia="Arial"/>
                <w:kern w:val="2"/>
                <w:szCs w:val="22"/>
                <w:lang w:eastAsia="pt-BR"/>
                <w14:ligatures w14:val="standardContextual"/>
              </w:rPr>
            </w:pPr>
          </w:p>
        </w:tc>
        <w:tc>
          <w:tcPr>
            <w:tcW w:w="1134" w:type="dxa"/>
            <w:vMerge/>
          </w:tcPr>
          <w:p w14:paraId="29132BC1" w14:textId="77777777" w:rsidR="005A3CC9" w:rsidRDefault="005A3CC9" w:rsidP="005A3CC9">
            <w:pPr>
              <w:jc w:val="both"/>
              <w:rPr>
                <w:rFonts w:eastAsia="Arial"/>
                <w:kern w:val="2"/>
                <w:szCs w:val="22"/>
                <w:lang w:eastAsia="pt-BR"/>
                <w14:ligatures w14:val="standardContextual"/>
              </w:rPr>
            </w:pPr>
          </w:p>
        </w:tc>
        <w:tc>
          <w:tcPr>
            <w:tcW w:w="2835" w:type="dxa"/>
            <w:vMerge/>
          </w:tcPr>
          <w:p w14:paraId="5F82476E" w14:textId="77777777" w:rsidR="005A3CC9" w:rsidRPr="005A3CC9" w:rsidRDefault="005A3CC9" w:rsidP="005A3CC9">
            <w:pPr>
              <w:jc w:val="both"/>
              <w:rPr>
                <w:bCs/>
                <w:color w:val="000000" w:themeColor="text1"/>
              </w:rPr>
            </w:pPr>
          </w:p>
        </w:tc>
        <w:tc>
          <w:tcPr>
            <w:tcW w:w="2803" w:type="dxa"/>
          </w:tcPr>
          <w:p w14:paraId="23FB2945" w14:textId="0CD38259" w:rsidR="005A3CC9" w:rsidRDefault="005A3CC9" w:rsidP="005A3CC9">
            <w:pPr>
              <w:jc w:val="both"/>
              <w:rPr>
                <w:rFonts w:eastAsia="Arial"/>
                <w:kern w:val="2"/>
                <w:szCs w:val="22"/>
                <w:lang w:eastAsia="pt-BR"/>
                <w14:ligatures w14:val="standardContextual"/>
              </w:rPr>
            </w:pPr>
            <w:r w:rsidRPr="005A3CC9">
              <w:rPr>
                <w:rFonts w:eastAsia="Arial"/>
                <w:b/>
                <w:bCs/>
                <w:kern w:val="2"/>
                <w:szCs w:val="22"/>
                <w:lang w:eastAsia="pt-BR"/>
                <w14:ligatures w14:val="standardContextual"/>
              </w:rPr>
              <w:t xml:space="preserve">Órgão : PM DE LAJEADO DO BUGRE, Modalidade : Processo de Inexigibilidade, </w:t>
            </w:r>
            <w:proofErr w:type="spellStart"/>
            <w:r w:rsidRPr="005A3CC9">
              <w:rPr>
                <w:rFonts w:eastAsia="Arial"/>
                <w:b/>
                <w:bCs/>
                <w:kern w:val="2"/>
                <w:szCs w:val="22"/>
                <w:lang w:eastAsia="pt-BR"/>
                <w14:ligatures w14:val="standardContextual"/>
              </w:rPr>
              <w:t>Nr</w:t>
            </w:r>
            <w:proofErr w:type="spellEnd"/>
            <w:r w:rsidRPr="005A3CC9">
              <w:rPr>
                <w:rFonts w:eastAsia="Arial"/>
                <w:b/>
                <w:bCs/>
                <w:kern w:val="2"/>
                <w:szCs w:val="22"/>
                <w:lang w:eastAsia="pt-BR"/>
                <w14:ligatures w14:val="standardContextual"/>
              </w:rPr>
              <w:t>. : 1, Ano : 2026, Objeto : Compras, Abertura : 02/03/2026</w:t>
            </w:r>
          </w:p>
        </w:tc>
        <w:tc>
          <w:tcPr>
            <w:tcW w:w="1870" w:type="dxa"/>
          </w:tcPr>
          <w:p w14:paraId="756AFB87" w14:textId="1211C76E" w:rsidR="005A3CC9" w:rsidRDefault="005A3CC9" w:rsidP="005A3CC9">
            <w:pPr>
              <w:jc w:val="both"/>
              <w:rPr>
                <w:rFonts w:eastAsia="Arial"/>
                <w:kern w:val="2"/>
                <w:szCs w:val="22"/>
                <w:lang w:eastAsia="pt-BR"/>
                <w14:ligatures w14:val="standardContextual"/>
              </w:rPr>
            </w:pPr>
            <w:r w:rsidRPr="005A3CC9">
              <w:rPr>
                <w:rFonts w:eastAsia="Arial"/>
                <w:kern w:val="2"/>
                <w:szCs w:val="22"/>
                <w:lang w:eastAsia="pt-BR"/>
                <w14:ligatures w14:val="standardContextual"/>
              </w:rPr>
              <w:t>8.900,00</w:t>
            </w:r>
          </w:p>
        </w:tc>
      </w:tr>
      <w:tr w:rsidR="005A3CC9" w14:paraId="7EBA5264" w14:textId="77777777" w:rsidTr="005A3CC9">
        <w:trPr>
          <w:trHeight w:val="675"/>
        </w:trPr>
        <w:tc>
          <w:tcPr>
            <w:tcW w:w="704" w:type="dxa"/>
            <w:vMerge/>
          </w:tcPr>
          <w:p w14:paraId="555B6EAA" w14:textId="77777777" w:rsidR="005A3CC9" w:rsidRDefault="005A3CC9" w:rsidP="005A3CC9">
            <w:pPr>
              <w:jc w:val="both"/>
              <w:rPr>
                <w:rFonts w:eastAsia="Arial"/>
                <w:kern w:val="2"/>
                <w:szCs w:val="22"/>
                <w:lang w:eastAsia="pt-BR"/>
                <w14:ligatures w14:val="standardContextual"/>
              </w:rPr>
            </w:pPr>
          </w:p>
        </w:tc>
        <w:tc>
          <w:tcPr>
            <w:tcW w:w="1134" w:type="dxa"/>
            <w:vMerge/>
          </w:tcPr>
          <w:p w14:paraId="2FB16180" w14:textId="77777777" w:rsidR="005A3CC9" w:rsidRDefault="005A3CC9" w:rsidP="005A3CC9">
            <w:pPr>
              <w:jc w:val="both"/>
              <w:rPr>
                <w:rFonts w:eastAsia="Arial"/>
                <w:kern w:val="2"/>
                <w:szCs w:val="22"/>
                <w:lang w:eastAsia="pt-BR"/>
                <w14:ligatures w14:val="standardContextual"/>
              </w:rPr>
            </w:pPr>
          </w:p>
        </w:tc>
        <w:tc>
          <w:tcPr>
            <w:tcW w:w="2835" w:type="dxa"/>
            <w:vMerge/>
          </w:tcPr>
          <w:p w14:paraId="42F63B00" w14:textId="77777777" w:rsidR="005A3CC9" w:rsidRPr="005A3CC9" w:rsidRDefault="005A3CC9" w:rsidP="005A3CC9">
            <w:pPr>
              <w:jc w:val="both"/>
              <w:rPr>
                <w:bCs/>
                <w:color w:val="000000" w:themeColor="text1"/>
              </w:rPr>
            </w:pPr>
          </w:p>
        </w:tc>
        <w:tc>
          <w:tcPr>
            <w:tcW w:w="2803" w:type="dxa"/>
          </w:tcPr>
          <w:p w14:paraId="7B423E1F" w14:textId="5CB323DC" w:rsidR="005A3CC9" w:rsidRDefault="005A3CC9" w:rsidP="005A3CC9">
            <w:pPr>
              <w:jc w:val="both"/>
              <w:rPr>
                <w:rFonts w:eastAsia="Arial"/>
                <w:kern w:val="2"/>
                <w:szCs w:val="22"/>
                <w:lang w:eastAsia="pt-BR"/>
                <w14:ligatures w14:val="standardContextual"/>
              </w:rPr>
            </w:pPr>
            <w:r w:rsidRPr="005A3CC9">
              <w:rPr>
                <w:rFonts w:eastAsia="Arial"/>
                <w:b/>
                <w:bCs/>
                <w:kern w:val="2"/>
                <w:szCs w:val="22"/>
                <w:lang w:eastAsia="pt-BR"/>
                <w14:ligatures w14:val="standardContextual"/>
              </w:rPr>
              <w:t xml:space="preserve">Órgão : PM DE SÃO JERÔNIMO, Modalidade : Processo de Inexigibilidade, </w:t>
            </w:r>
            <w:proofErr w:type="spellStart"/>
            <w:r w:rsidRPr="005A3CC9">
              <w:rPr>
                <w:rFonts w:eastAsia="Arial"/>
                <w:b/>
                <w:bCs/>
                <w:kern w:val="2"/>
                <w:szCs w:val="22"/>
                <w:lang w:eastAsia="pt-BR"/>
                <w14:ligatures w14:val="standardContextual"/>
              </w:rPr>
              <w:t>Nr</w:t>
            </w:r>
            <w:proofErr w:type="spellEnd"/>
            <w:r w:rsidRPr="005A3CC9">
              <w:rPr>
                <w:rFonts w:eastAsia="Arial"/>
                <w:b/>
                <w:bCs/>
                <w:kern w:val="2"/>
                <w:szCs w:val="22"/>
                <w:lang w:eastAsia="pt-BR"/>
                <w14:ligatures w14:val="standardContextual"/>
              </w:rPr>
              <w:t>. : 229, Ano : 2025, Objeto : Compras, Abertura : 24/09/2025</w:t>
            </w:r>
          </w:p>
        </w:tc>
        <w:tc>
          <w:tcPr>
            <w:tcW w:w="1870" w:type="dxa"/>
          </w:tcPr>
          <w:p w14:paraId="37562446" w14:textId="51C2CEBF" w:rsidR="005A3CC9" w:rsidRDefault="005A3CC9" w:rsidP="005A3CC9">
            <w:pPr>
              <w:jc w:val="both"/>
              <w:rPr>
                <w:rFonts w:eastAsia="Arial"/>
                <w:kern w:val="2"/>
                <w:szCs w:val="22"/>
                <w:lang w:eastAsia="pt-BR"/>
                <w14:ligatures w14:val="standardContextual"/>
              </w:rPr>
            </w:pPr>
            <w:r>
              <w:rPr>
                <w:rFonts w:eastAsia="Arial"/>
                <w:kern w:val="2"/>
                <w:szCs w:val="22"/>
                <w:lang w:eastAsia="pt-BR"/>
                <w14:ligatures w14:val="standardContextual"/>
              </w:rPr>
              <w:t>19.700,00</w:t>
            </w:r>
          </w:p>
        </w:tc>
      </w:tr>
    </w:tbl>
    <w:p w14:paraId="7590271E" w14:textId="77777777" w:rsidR="005A3CC9" w:rsidRDefault="005A3CC9" w:rsidP="00AF6450">
      <w:pPr>
        <w:jc w:val="both"/>
        <w:rPr>
          <w:rFonts w:eastAsia="Arial"/>
          <w:kern w:val="2"/>
          <w:szCs w:val="22"/>
          <w:lang w:eastAsia="pt-BR"/>
          <w14:ligatures w14:val="standardContextual"/>
        </w:rPr>
      </w:pPr>
    </w:p>
    <w:p w14:paraId="605FAA63" w14:textId="7C531CFC" w:rsidR="007157C2" w:rsidRPr="00546A9D" w:rsidRDefault="00546A9D" w:rsidP="00A073FC">
      <w:pPr>
        <w:jc w:val="both"/>
        <w:rPr>
          <w:rFonts w:eastAsia="Arial"/>
          <w:kern w:val="2"/>
          <w:szCs w:val="22"/>
          <w:lang w:eastAsia="pt-BR"/>
          <w14:ligatures w14:val="standardContextual"/>
        </w:rPr>
      </w:pPr>
      <w:r w:rsidRPr="00546A9D">
        <w:rPr>
          <w:rFonts w:eastAsia="Arial"/>
          <w:kern w:val="2"/>
          <w:szCs w:val="22"/>
          <w:lang w:eastAsia="pt-BR"/>
          <w14:ligatures w14:val="standardContextual"/>
        </w:rPr>
        <w:t>Considerando os valores identificados em contratações similares, o valor proposto de R$ 5.900,00 mensais mostra-se compatível e inferior aos preços praticados no mercado.</w:t>
      </w:r>
    </w:p>
    <w:p w14:paraId="5A024F3A" w14:textId="77777777" w:rsidR="002F5384" w:rsidRPr="002F5384" w:rsidRDefault="002F5384" w:rsidP="002F5384">
      <w:pPr>
        <w:pStyle w:val="PargrafodaLista"/>
        <w:ind w:left="1429"/>
        <w:jc w:val="both"/>
        <w:rPr>
          <w:rFonts w:eastAsia="Arial"/>
          <w:kern w:val="2"/>
          <w:szCs w:val="22"/>
          <w:lang w:eastAsia="pt-BR"/>
          <w14:ligatures w14:val="standardContextual"/>
        </w:rPr>
      </w:pPr>
    </w:p>
    <w:p w14:paraId="0B8EFDA9" w14:textId="45E0E937" w:rsidR="00623217" w:rsidRPr="00623217" w:rsidRDefault="00623217" w:rsidP="00623217">
      <w:pPr>
        <w:jc w:val="both"/>
        <w:rPr>
          <w:rFonts w:eastAsia="Arial"/>
          <w:kern w:val="2"/>
          <w:szCs w:val="22"/>
          <w:lang w:eastAsia="pt-BR"/>
          <w14:ligatures w14:val="standardContextual"/>
        </w:rPr>
      </w:pPr>
      <w:r w:rsidRPr="00623217">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C74533E" w14:textId="77777777" w:rsidR="00EA3EFC" w:rsidRPr="00425814" w:rsidRDefault="00EA3EFC" w:rsidP="00DF4AC7">
      <w:pPr>
        <w:spacing w:line="276" w:lineRule="auto"/>
        <w:ind w:firstLine="708"/>
        <w:jc w:val="both"/>
        <w:rPr>
          <w:szCs w:val="22"/>
        </w:rPr>
      </w:pPr>
    </w:p>
    <w:p w14:paraId="6A8D6994" w14:textId="30BE7676" w:rsidR="00581217" w:rsidRPr="00425814" w:rsidRDefault="00581217" w:rsidP="00DF4AC7">
      <w:pPr>
        <w:spacing w:line="276" w:lineRule="auto"/>
        <w:jc w:val="both"/>
        <w:rPr>
          <w:b/>
          <w:bCs/>
          <w:szCs w:val="22"/>
        </w:rPr>
      </w:pPr>
      <w:r w:rsidRPr="0090359F">
        <w:rPr>
          <w:b/>
          <w:bCs/>
          <w:szCs w:val="22"/>
        </w:rPr>
        <w:t>7. DESCRIÇÃO DA SOLUÇÃO COMO UM TODO</w:t>
      </w:r>
    </w:p>
    <w:p w14:paraId="52EE0E66" w14:textId="075BE356" w:rsidR="005A3CC9" w:rsidRDefault="00A546A1" w:rsidP="005A3CC9">
      <w:pPr>
        <w:jc w:val="both"/>
        <w:rPr>
          <w:b/>
          <w:bCs/>
          <w:szCs w:val="22"/>
        </w:rPr>
      </w:pPr>
      <w:r w:rsidRPr="00A546A1">
        <w:rPr>
          <w:szCs w:val="22"/>
        </w:rPr>
        <w:t xml:space="preserve">A solução proposta é a </w:t>
      </w:r>
      <w:r w:rsidR="005A3CC9" w:rsidRPr="00A546A1">
        <w:rPr>
          <w:szCs w:val="22"/>
        </w:rPr>
        <w:t xml:space="preserve">CONTRATAÇÃO DE EMPRESA PARA </w:t>
      </w:r>
      <w:r w:rsidR="005A3CC9" w:rsidRPr="005A3CC9">
        <w:rPr>
          <w:bCs/>
          <w:color w:val="000000" w:themeColor="text1"/>
        </w:rPr>
        <w:t>CONSULTORIA E ASSESSORIA DIRETA PARA LANÇAMENTOS E REMESSAS DAS ENTREGAS LEGAIS EMITIDAS PELA CONTABILIDADE, ADMINISTRAÇÃO E OUTROS ÓRGÃOS</w:t>
      </w:r>
    </w:p>
    <w:p w14:paraId="37E4BB01" w14:textId="77777777" w:rsidR="005A3CC9" w:rsidRDefault="005A3CC9" w:rsidP="005A3CC9">
      <w:pPr>
        <w:jc w:val="both"/>
        <w:rPr>
          <w:b/>
          <w:bCs/>
          <w:szCs w:val="22"/>
        </w:rPr>
      </w:pPr>
    </w:p>
    <w:p w14:paraId="76F325A1" w14:textId="55C0724E" w:rsidR="0090359F" w:rsidRPr="00A546A1" w:rsidRDefault="00C117BA" w:rsidP="005A3CC9">
      <w:pPr>
        <w:jc w:val="both"/>
        <w:rPr>
          <w:b/>
          <w:bCs/>
          <w:szCs w:val="22"/>
        </w:rPr>
      </w:pPr>
      <w:r w:rsidRPr="00425814">
        <w:rPr>
          <w:b/>
          <w:bCs/>
          <w:szCs w:val="22"/>
        </w:rPr>
        <w:t>8. JUSTIFICATIVA PARA O PARCELAMENTO OU NÃO DA CONTRATAÇÃO</w:t>
      </w:r>
    </w:p>
    <w:p w14:paraId="72E2691D" w14:textId="77777777" w:rsidR="006B39CB" w:rsidRPr="006B39CB" w:rsidRDefault="006B39CB" w:rsidP="006B39CB">
      <w:pPr>
        <w:spacing w:line="276" w:lineRule="auto"/>
        <w:ind w:firstLine="708"/>
        <w:jc w:val="both"/>
        <w:rPr>
          <w:rFonts w:eastAsia="Arial"/>
          <w:kern w:val="2"/>
          <w:szCs w:val="22"/>
          <w:lang w:eastAsia="pt-BR"/>
          <w14:ligatures w14:val="standardContextual"/>
        </w:rPr>
      </w:pPr>
      <w:r w:rsidRPr="006B39CB">
        <w:rPr>
          <w:rFonts w:eastAsia="Arial"/>
          <w:kern w:val="2"/>
          <w:szCs w:val="22"/>
          <w:lang w:eastAsia="pt-BR"/>
          <w14:ligatures w14:val="standardContextual"/>
        </w:rPr>
        <w:t>Nos termos do art. 47, inciso II, da Lei Federal nº 14.133/2021, as licitações deverão observar o princípio do parcelamento, quando tecnicamente viável e economicamente vantajoso para a Administração Pública.</w:t>
      </w:r>
    </w:p>
    <w:p w14:paraId="72E76947" w14:textId="77777777" w:rsidR="006B39CB" w:rsidRPr="006B39CB" w:rsidRDefault="006B39CB" w:rsidP="006B39CB">
      <w:pPr>
        <w:spacing w:line="276" w:lineRule="auto"/>
        <w:ind w:firstLine="708"/>
        <w:jc w:val="both"/>
        <w:rPr>
          <w:rFonts w:eastAsia="Arial"/>
          <w:kern w:val="2"/>
          <w:szCs w:val="22"/>
          <w:lang w:eastAsia="pt-BR"/>
          <w14:ligatures w14:val="standardContextual"/>
        </w:rPr>
      </w:pPr>
      <w:r w:rsidRPr="006B39CB">
        <w:rPr>
          <w:rFonts w:eastAsia="Arial"/>
          <w:kern w:val="2"/>
          <w:szCs w:val="22"/>
          <w:lang w:eastAsia="pt-BR"/>
          <w14:ligatures w14:val="standardContextual"/>
        </w:rPr>
        <w:t>Entretanto, no presente caso, o parcelamento do objeto não se mostra técnica e operacionalmente viável, tendo em vista que os serviços de consultoria e assessoria relacionados às remessas legais, prestações de contas, acompanhamento de inconsistências, análise de dados e orientações técnicas possuem natureza integrada e interdependente, exigindo atuação contínua, padronizada e coordenada.</w:t>
      </w:r>
    </w:p>
    <w:p w14:paraId="32BED0CA" w14:textId="77777777" w:rsidR="006B39CB" w:rsidRPr="006B39CB" w:rsidRDefault="006B39CB" w:rsidP="006B39CB">
      <w:pPr>
        <w:spacing w:line="276" w:lineRule="auto"/>
        <w:ind w:firstLine="708"/>
        <w:jc w:val="both"/>
        <w:rPr>
          <w:rFonts w:eastAsia="Arial"/>
          <w:kern w:val="2"/>
          <w:szCs w:val="22"/>
          <w:lang w:eastAsia="pt-BR"/>
          <w14:ligatures w14:val="standardContextual"/>
        </w:rPr>
      </w:pPr>
      <w:r w:rsidRPr="006B39CB">
        <w:rPr>
          <w:rFonts w:eastAsia="Arial"/>
          <w:kern w:val="2"/>
          <w:szCs w:val="22"/>
          <w:lang w:eastAsia="pt-BR"/>
          <w14:ligatures w14:val="standardContextual"/>
        </w:rPr>
        <w:t>A eventual divisão do objeto entre diferentes prestadores poderia comprometer a uniformidade das informações, dificultar a responsabilização técnica, gerar conflitos operacionais, aumentar o risco de inconsistências nas remessas e ocasionar prejuízos ao acompanhamento das obrigações legais do Município perante os órgãos de controle.</w:t>
      </w:r>
    </w:p>
    <w:p w14:paraId="5D5CA2EF" w14:textId="77777777" w:rsidR="006B39CB" w:rsidRPr="006B39CB" w:rsidRDefault="006B39CB" w:rsidP="006B39CB">
      <w:pPr>
        <w:spacing w:line="276" w:lineRule="auto"/>
        <w:ind w:firstLine="708"/>
        <w:jc w:val="both"/>
        <w:rPr>
          <w:rFonts w:eastAsia="Arial"/>
          <w:kern w:val="2"/>
          <w:szCs w:val="22"/>
          <w:lang w:eastAsia="pt-BR"/>
          <w14:ligatures w14:val="standardContextual"/>
        </w:rPr>
      </w:pPr>
      <w:r w:rsidRPr="006B39CB">
        <w:rPr>
          <w:rFonts w:eastAsia="Arial"/>
          <w:kern w:val="2"/>
          <w:szCs w:val="22"/>
          <w:lang w:eastAsia="pt-BR"/>
          <w14:ligatures w14:val="standardContextual"/>
        </w:rPr>
        <w:lastRenderedPageBreak/>
        <w:t>Além disso, a contratação de múltiplos prestadores resultaria em maior custo administrativo de fiscalização e gerenciamento contratual, sem demonstrar vantagem econômica ou operacional para a Administração.</w:t>
      </w:r>
    </w:p>
    <w:p w14:paraId="45E38497" w14:textId="77777777" w:rsidR="006B39CB" w:rsidRPr="006B39CB" w:rsidRDefault="006B39CB" w:rsidP="006B39CB">
      <w:pPr>
        <w:spacing w:line="276" w:lineRule="auto"/>
        <w:ind w:firstLine="708"/>
        <w:jc w:val="both"/>
        <w:rPr>
          <w:rFonts w:eastAsia="Arial"/>
          <w:kern w:val="2"/>
          <w:szCs w:val="22"/>
          <w:lang w:eastAsia="pt-BR"/>
          <w14:ligatures w14:val="standardContextual"/>
        </w:rPr>
      </w:pPr>
      <w:r w:rsidRPr="006B39CB">
        <w:rPr>
          <w:rFonts w:eastAsia="Arial"/>
          <w:kern w:val="2"/>
          <w:szCs w:val="22"/>
          <w:lang w:eastAsia="pt-BR"/>
          <w14:ligatures w14:val="standardContextual"/>
        </w:rPr>
        <w:t>Dessa forma, conclui-se que a contratação em item único mostra-se a alternativa mais adequada, eficiente e vantajosa ao interesse público, garantindo maior integração dos serviços, segurança técnica e efetividade no cumprimento das obrigações legais do Município.</w:t>
      </w:r>
    </w:p>
    <w:p w14:paraId="7C0A6CB0" w14:textId="77777777" w:rsidR="00133354" w:rsidRPr="00425814" w:rsidRDefault="00133354" w:rsidP="00DF4AC7">
      <w:pPr>
        <w:spacing w:line="276" w:lineRule="auto"/>
        <w:ind w:firstLine="708"/>
        <w:jc w:val="both"/>
        <w:rPr>
          <w:rFonts w:eastAsia="Arial"/>
          <w:kern w:val="2"/>
          <w:szCs w:val="22"/>
          <w:lang w:eastAsia="pt-BR"/>
          <w14:ligatures w14:val="standardContextual"/>
        </w:rPr>
      </w:pPr>
    </w:p>
    <w:p w14:paraId="1D1856F2" w14:textId="19048594" w:rsidR="004A5831" w:rsidRPr="00425814" w:rsidRDefault="004A5831" w:rsidP="00DF4AC7">
      <w:pPr>
        <w:pStyle w:val="NormalWeb"/>
        <w:spacing w:before="0" w:beforeAutospacing="0" w:after="0" w:afterAutospacing="0" w:line="276" w:lineRule="auto"/>
        <w:jc w:val="both"/>
        <w:rPr>
          <w:rFonts w:ascii="Arial" w:hAnsi="Arial" w:cs="Arial"/>
          <w:color w:val="000000"/>
          <w:sz w:val="22"/>
          <w:szCs w:val="22"/>
        </w:rPr>
      </w:pPr>
      <w:r w:rsidRPr="00425814">
        <w:rPr>
          <w:rFonts w:ascii="Arial" w:hAnsi="Arial" w:cs="Arial"/>
          <w:b/>
          <w:bCs/>
          <w:sz w:val="22"/>
          <w:szCs w:val="22"/>
        </w:rPr>
        <w:t xml:space="preserve">9. RESULTADOS PRETENDIDOS </w:t>
      </w:r>
    </w:p>
    <w:p w14:paraId="45F7DB59" w14:textId="77777777" w:rsidR="006B39CB" w:rsidRPr="006B39CB" w:rsidRDefault="006B39CB" w:rsidP="006B39CB">
      <w:pPr>
        <w:spacing w:line="276" w:lineRule="auto"/>
        <w:ind w:firstLine="708"/>
        <w:jc w:val="both"/>
        <w:rPr>
          <w:szCs w:val="22"/>
        </w:rPr>
      </w:pPr>
      <w:r w:rsidRPr="006B39CB">
        <w:rPr>
          <w:szCs w:val="22"/>
        </w:rPr>
        <w:t>Com a presente contratação, pretende-se assegurar maior eficiência, regularidade e segurança técnica na execução das atividades relacionadas aos lançamentos, análises, correções e remessas das entregas legais emitidas pelos setores de contabilidade, administração e demais órgãos municipais.</w:t>
      </w:r>
    </w:p>
    <w:p w14:paraId="50A6CD3F" w14:textId="77777777" w:rsidR="006B39CB" w:rsidRPr="006B39CB" w:rsidRDefault="006B39CB" w:rsidP="006B39CB">
      <w:pPr>
        <w:spacing w:line="276" w:lineRule="auto"/>
        <w:ind w:firstLine="708"/>
        <w:jc w:val="both"/>
        <w:rPr>
          <w:szCs w:val="22"/>
        </w:rPr>
      </w:pPr>
      <w:r w:rsidRPr="006B39CB">
        <w:rPr>
          <w:szCs w:val="22"/>
        </w:rPr>
        <w:t>Busca-se garantir o cumprimento dos prazos legais estabelecidos pelos órgãos de controle e fiscalização, reduzindo riscos de inconsistências, apontamentos, bloqueios, sanções administrativas e demais prejuízos decorrentes de falhas ou atrasos nas prestações de contas e transmissões de informações obrigatórias.</w:t>
      </w:r>
    </w:p>
    <w:p w14:paraId="2A1CD855" w14:textId="77777777" w:rsidR="006B39CB" w:rsidRPr="006B39CB" w:rsidRDefault="006B39CB" w:rsidP="006B39CB">
      <w:pPr>
        <w:spacing w:line="276" w:lineRule="auto"/>
        <w:ind w:firstLine="708"/>
        <w:jc w:val="both"/>
        <w:rPr>
          <w:szCs w:val="22"/>
        </w:rPr>
      </w:pPr>
      <w:r w:rsidRPr="006B39CB">
        <w:rPr>
          <w:szCs w:val="22"/>
        </w:rPr>
        <w:t>Pretende-se, ainda, proporcionar suporte técnico contínuo aos servidores municipais, mediante orientações, acompanhamento operacional, análise de inconsistências e auxílio na correta alimentação dos sistemas oficiais, promovendo maior qualificação técnica das equipes envolvidas e melhoria dos processos internos da Administração.</w:t>
      </w:r>
    </w:p>
    <w:p w14:paraId="2FA404AE" w14:textId="77777777" w:rsidR="006B39CB" w:rsidRPr="006B39CB" w:rsidRDefault="006B39CB" w:rsidP="006B39CB">
      <w:pPr>
        <w:spacing w:line="276" w:lineRule="auto"/>
        <w:ind w:firstLine="708"/>
        <w:jc w:val="both"/>
        <w:rPr>
          <w:szCs w:val="22"/>
        </w:rPr>
      </w:pPr>
      <w:r w:rsidRPr="006B39CB">
        <w:rPr>
          <w:szCs w:val="22"/>
        </w:rPr>
        <w:t>Como resultado esperado, objetiva-se também assegurar maior confiabilidade das informações prestadas pelo Município, fortalecimento da gestão administrativa, contábil e fiscal, além de maior eficiência no atendimento das exigências legais e normativas impostas pelos órgãos de controle externo.</w:t>
      </w:r>
    </w:p>
    <w:p w14:paraId="1E5251ED" w14:textId="77777777" w:rsidR="00EB2F8D" w:rsidRPr="00425814" w:rsidRDefault="00EB2F8D" w:rsidP="00EB2F8D">
      <w:pPr>
        <w:spacing w:line="276" w:lineRule="auto"/>
        <w:jc w:val="both"/>
        <w:rPr>
          <w:szCs w:val="22"/>
        </w:rPr>
      </w:pPr>
    </w:p>
    <w:p w14:paraId="4690B0C0" w14:textId="0C077276" w:rsidR="00F62C01" w:rsidRPr="00425814" w:rsidRDefault="0020551E"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10</w:t>
      </w:r>
      <w:r w:rsidR="00C4112F" w:rsidRPr="00425814">
        <w:rPr>
          <w:rFonts w:ascii="Arial" w:hAnsi="Arial" w:cs="Arial"/>
          <w:b/>
          <w:bCs/>
          <w:color w:val="000000"/>
          <w:sz w:val="22"/>
          <w:szCs w:val="22"/>
        </w:rPr>
        <w:t xml:space="preserve">. </w:t>
      </w:r>
      <w:r w:rsidRPr="00425814">
        <w:rPr>
          <w:rFonts w:ascii="Arial" w:hAnsi="Arial" w:cs="Arial"/>
          <w:b/>
          <w:bCs/>
          <w:color w:val="000000"/>
          <w:sz w:val="22"/>
          <w:szCs w:val="22"/>
        </w:rPr>
        <w:t>PROVIDÊNCIAS PRÉVIAS AO CONTRATO</w:t>
      </w:r>
    </w:p>
    <w:p w14:paraId="519BD399" w14:textId="30640BBC" w:rsidR="009721AC" w:rsidRPr="00425814" w:rsidRDefault="00F50A45" w:rsidP="00F632D7">
      <w:pPr>
        <w:pStyle w:val="NormalWeb"/>
        <w:spacing w:before="0" w:beforeAutospacing="0" w:after="0" w:afterAutospacing="0" w:line="276" w:lineRule="auto"/>
        <w:ind w:firstLine="708"/>
        <w:jc w:val="both"/>
        <w:rPr>
          <w:rFonts w:ascii="Arial" w:hAnsi="Arial" w:cs="Arial"/>
          <w:color w:val="000000"/>
          <w:sz w:val="22"/>
          <w:szCs w:val="22"/>
        </w:rPr>
      </w:pPr>
      <w:bookmarkStart w:id="1" w:name="art18§1xi"/>
      <w:bookmarkEnd w:id="1"/>
      <w:r w:rsidRPr="00425814">
        <w:rPr>
          <w:rFonts w:ascii="Arial" w:hAnsi="Arial" w:cs="Arial"/>
          <w:color w:val="000000"/>
          <w:sz w:val="22"/>
          <w:szCs w:val="22"/>
        </w:rPr>
        <w:t xml:space="preserve">A Secretaria </w:t>
      </w:r>
      <w:r w:rsidR="00BD16C7" w:rsidRPr="00425814">
        <w:rPr>
          <w:rFonts w:ascii="Arial" w:hAnsi="Arial" w:cs="Arial"/>
          <w:color w:val="000000"/>
          <w:sz w:val="22"/>
          <w:szCs w:val="22"/>
        </w:rPr>
        <w:t>d</w:t>
      </w:r>
      <w:r w:rsidR="00417200">
        <w:rPr>
          <w:rFonts w:ascii="Arial" w:hAnsi="Arial" w:cs="Arial"/>
          <w:color w:val="000000"/>
          <w:sz w:val="22"/>
          <w:szCs w:val="22"/>
        </w:rPr>
        <w:t xml:space="preserve">e </w:t>
      </w:r>
      <w:r w:rsidR="00DF1A43">
        <w:rPr>
          <w:rFonts w:ascii="Arial" w:hAnsi="Arial" w:cs="Arial"/>
          <w:color w:val="000000"/>
          <w:sz w:val="22"/>
          <w:szCs w:val="22"/>
        </w:rPr>
        <w:t>Administração</w:t>
      </w:r>
      <w:r w:rsidR="00417200">
        <w:rPr>
          <w:rFonts w:ascii="Arial" w:hAnsi="Arial" w:cs="Arial"/>
          <w:color w:val="000000"/>
          <w:sz w:val="22"/>
          <w:szCs w:val="22"/>
        </w:rPr>
        <w:t xml:space="preserve"> </w:t>
      </w:r>
      <w:r w:rsidRPr="00425814">
        <w:rPr>
          <w:rFonts w:ascii="Arial" w:hAnsi="Arial" w:cs="Arial"/>
          <w:color w:val="000000"/>
          <w:sz w:val="22"/>
          <w:szCs w:val="22"/>
        </w:rPr>
        <w:t>indicará servidores para atuarem co</w:t>
      </w:r>
      <w:r w:rsidR="00AD531A" w:rsidRPr="00425814">
        <w:rPr>
          <w:rFonts w:ascii="Arial" w:hAnsi="Arial" w:cs="Arial"/>
          <w:color w:val="000000"/>
          <w:sz w:val="22"/>
          <w:szCs w:val="22"/>
        </w:rPr>
        <w:t>mo gestor e fiscal do contrato.</w:t>
      </w:r>
    </w:p>
    <w:p w14:paraId="47E1BAFD" w14:textId="1436B2FF" w:rsidR="00EB3014" w:rsidRPr="00425814" w:rsidRDefault="00EB3014"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Ademais, para que a pretendida contratação tenha sucesso, é preciso que outras etapas sejam concluídas, </w:t>
      </w:r>
      <w:r w:rsidR="00774485" w:rsidRPr="00425814">
        <w:rPr>
          <w:rFonts w:ascii="Arial" w:hAnsi="Arial" w:cs="Arial"/>
          <w:sz w:val="22"/>
          <w:szCs w:val="22"/>
        </w:rPr>
        <w:t>quais sejam</w:t>
      </w:r>
      <w:r w:rsidRPr="00425814">
        <w:rPr>
          <w:rFonts w:ascii="Arial" w:hAnsi="Arial" w:cs="Arial"/>
          <w:sz w:val="22"/>
          <w:szCs w:val="22"/>
        </w:rPr>
        <w:t xml:space="preserve">: </w:t>
      </w:r>
    </w:p>
    <w:p w14:paraId="5FF0BE8F" w14:textId="498FED1A"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w:t>
      </w:r>
      <w:r w:rsidR="00CF4BA9" w:rsidRPr="00425814">
        <w:rPr>
          <w:rFonts w:ascii="Arial" w:hAnsi="Arial" w:cs="Arial"/>
          <w:sz w:val="22"/>
          <w:szCs w:val="22"/>
        </w:rPr>
        <w:t>do Termo de Referência</w:t>
      </w:r>
      <w:r w:rsidR="00EB3014" w:rsidRPr="00425814">
        <w:rPr>
          <w:rFonts w:ascii="Arial" w:hAnsi="Arial" w:cs="Arial"/>
          <w:sz w:val="22"/>
          <w:szCs w:val="22"/>
        </w:rPr>
        <w:t xml:space="preserve">; </w:t>
      </w:r>
    </w:p>
    <w:p w14:paraId="5BC2903C" w14:textId="7A6D24A8"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r</w:t>
      </w:r>
      <w:r w:rsidR="00EB3014" w:rsidRPr="00425814">
        <w:rPr>
          <w:rFonts w:ascii="Arial" w:hAnsi="Arial" w:cs="Arial"/>
          <w:sz w:val="22"/>
          <w:szCs w:val="22"/>
        </w:rPr>
        <w:t xml:space="preserve">ealização de </w:t>
      </w:r>
      <w:r w:rsidRPr="00425814">
        <w:rPr>
          <w:rFonts w:ascii="Arial" w:hAnsi="Arial" w:cs="Arial"/>
          <w:sz w:val="22"/>
          <w:szCs w:val="22"/>
        </w:rPr>
        <w:t>c</w:t>
      </w:r>
      <w:r w:rsidR="00EB3014" w:rsidRPr="00425814">
        <w:rPr>
          <w:rFonts w:ascii="Arial" w:hAnsi="Arial" w:cs="Arial"/>
          <w:sz w:val="22"/>
          <w:szCs w:val="22"/>
        </w:rPr>
        <w:t xml:space="preserve">ertificação </w:t>
      </w:r>
      <w:r w:rsidRPr="00425814">
        <w:rPr>
          <w:rFonts w:ascii="Arial" w:hAnsi="Arial" w:cs="Arial"/>
          <w:sz w:val="22"/>
          <w:szCs w:val="22"/>
        </w:rPr>
        <w:t>de disponibilidade o</w:t>
      </w:r>
      <w:r w:rsidR="00EB3014" w:rsidRPr="00425814">
        <w:rPr>
          <w:rFonts w:ascii="Arial" w:hAnsi="Arial" w:cs="Arial"/>
          <w:sz w:val="22"/>
          <w:szCs w:val="22"/>
        </w:rPr>
        <w:t xml:space="preserve">rçamentária; </w:t>
      </w:r>
    </w:p>
    <w:p w14:paraId="3AE26FF0" w14:textId="4824413C"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laboração de </w:t>
      </w:r>
      <w:r w:rsidRPr="00425814">
        <w:rPr>
          <w:rFonts w:ascii="Arial" w:hAnsi="Arial" w:cs="Arial"/>
          <w:sz w:val="22"/>
          <w:szCs w:val="22"/>
        </w:rPr>
        <w:t>minuta do contrato</w:t>
      </w:r>
      <w:r w:rsidR="00EB3014" w:rsidRPr="00425814">
        <w:rPr>
          <w:rFonts w:ascii="Arial" w:hAnsi="Arial" w:cs="Arial"/>
          <w:sz w:val="22"/>
          <w:szCs w:val="22"/>
        </w:rPr>
        <w:t xml:space="preserve">; </w:t>
      </w:r>
    </w:p>
    <w:p w14:paraId="13969DD1" w14:textId="31E76C8B" w:rsidR="00EB3014" w:rsidRPr="00425814" w:rsidRDefault="00832920"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e</w:t>
      </w:r>
      <w:r w:rsidR="00EB3014" w:rsidRPr="00425814">
        <w:rPr>
          <w:rFonts w:ascii="Arial" w:hAnsi="Arial" w:cs="Arial"/>
          <w:sz w:val="22"/>
          <w:szCs w:val="22"/>
        </w:rPr>
        <w:t xml:space="preserve">ncaminhamento do processo para análise jurídica; </w:t>
      </w:r>
    </w:p>
    <w:p w14:paraId="7F7668E5" w14:textId="1FFE287A" w:rsidR="00135D0E" w:rsidRPr="00425814" w:rsidRDefault="00EB3014" w:rsidP="00DF4AC7">
      <w:pPr>
        <w:pStyle w:val="NormalWeb"/>
        <w:numPr>
          <w:ilvl w:val="0"/>
          <w:numId w:val="31"/>
        </w:numPr>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análise da manifestação jurídica e atendimento aos apontamentos constantes no </w:t>
      </w:r>
      <w:r w:rsidR="00832920" w:rsidRPr="00425814">
        <w:rPr>
          <w:rFonts w:ascii="Arial" w:hAnsi="Arial" w:cs="Arial"/>
          <w:sz w:val="22"/>
          <w:szCs w:val="22"/>
        </w:rPr>
        <w:t>p</w:t>
      </w:r>
      <w:r w:rsidRPr="00425814">
        <w:rPr>
          <w:rFonts w:ascii="Arial" w:hAnsi="Arial" w:cs="Arial"/>
          <w:sz w:val="22"/>
          <w:szCs w:val="22"/>
        </w:rPr>
        <w:t xml:space="preserve">arecer, mediante Nota Técnica com os ajustes indicados; </w:t>
      </w:r>
    </w:p>
    <w:p w14:paraId="733ACC0D" w14:textId="68105747" w:rsidR="00F50A45" w:rsidRPr="00425814" w:rsidRDefault="00832920" w:rsidP="00DF4AC7">
      <w:pPr>
        <w:pStyle w:val="NormalWeb"/>
        <w:numPr>
          <w:ilvl w:val="0"/>
          <w:numId w:val="31"/>
        </w:numPr>
        <w:spacing w:before="0" w:beforeAutospacing="0" w:after="0" w:afterAutospacing="0" w:line="276" w:lineRule="auto"/>
        <w:jc w:val="both"/>
        <w:rPr>
          <w:rFonts w:ascii="Arial" w:hAnsi="Arial" w:cs="Arial"/>
          <w:color w:val="000000"/>
          <w:sz w:val="22"/>
          <w:szCs w:val="22"/>
        </w:rPr>
      </w:pPr>
      <w:r w:rsidRPr="00425814">
        <w:rPr>
          <w:rFonts w:ascii="Arial" w:hAnsi="Arial" w:cs="Arial"/>
          <w:sz w:val="22"/>
          <w:szCs w:val="22"/>
        </w:rPr>
        <w:t>a</w:t>
      </w:r>
      <w:r w:rsidR="00EB3014" w:rsidRPr="00425814">
        <w:rPr>
          <w:rFonts w:ascii="Arial" w:hAnsi="Arial" w:cs="Arial"/>
          <w:sz w:val="22"/>
          <w:szCs w:val="22"/>
        </w:rPr>
        <w:t xml:space="preserve">ssinatura e publicação do contrato.  </w:t>
      </w:r>
    </w:p>
    <w:p w14:paraId="47C03767" w14:textId="77777777" w:rsidR="00F75C5A" w:rsidRPr="00425814" w:rsidRDefault="00F75C5A" w:rsidP="00DF4AC7">
      <w:pPr>
        <w:pStyle w:val="NormalWeb"/>
        <w:spacing w:before="0" w:beforeAutospacing="0" w:after="0" w:afterAutospacing="0" w:line="276" w:lineRule="auto"/>
        <w:jc w:val="both"/>
        <w:rPr>
          <w:rFonts w:ascii="Arial" w:hAnsi="Arial" w:cs="Arial"/>
          <w:b/>
          <w:bCs/>
          <w:color w:val="000000"/>
          <w:sz w:val="22"/>
          <w:szCs w:val="22"/>
        </w:rPr>
      </w:pPr>
    </w:p>
    <w:p w14:paraId="37D98BB2" w14:textId="20DF5B9B" w:rsidR="00F62C01"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11. CONTRATAÇÕES CORRELATAS E/OU INTERDEPENDENTES</w:t>
      </w:r>
    </w:p>
    <w:p w14:paraId="27747AED" w14:textId="16F7AE54" w:rsidR="00F10A7D" w:rsidRPr="00425814" w:rsidRDefault="00F10A7D"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 xml:space="preserve">Este estudo </w:t>
      </w:r>
      <w:r w:rsidR="00CF4BA9" w:rsidRPr="00425814">
        <w:rPr>
          <w:rFonts w:ascii="Arial" w:hAnsi="Arial" w:cs="Arial"/>
          <w:sz w:val="22"/>
          <w:szCs w:val="22"/>
        </w:rPr>
        <w:t xml:space="preserve">não </w:t>
      </w:r>
      <w:r w:rsidRPr="00425814">
        <w:rPr>
          <w:rFonts w:ascii="Arial" w:hAnsi="Arial" w:cs="Arial"/>
          <w:sz w:val="22"/>
          <w:szCs w:val="22"/>
        </w:rPr>
        <w:t>identificou a necessidade de realiza</w:t>
      </w:r>
      <w:r w:rsidR="00AD1714" w:rsidRPr="00425814">
        <w:rPr>
          <w:rFonts w:ascii="Arial" w:hAnsi="Arial" w:cs="Arial"/>
          <w:sz w:val="22"/>
          <w:szCs w:val="22"/>
        </w:rPr>
        <w:t xml:space="preserve">ção de </w:t>
      </w:r>
      <w:r w:rsidRPr="00425814">
        <w:rPr>
          <w:rFonts w:ascii="Arial" w:hAnsi="Arial" w:cs="Arial"/>
          <w:sz w:val="22"/>
          <w:szCs w:val="22"/>
        </w:rPr>
        <w:t>contratações acessórias para a execução do objeto</w:t>
      </w:r>
      <w:r w:rsidR="002F130B" w:rsidRPr="00425814">
        <w:rPr>
          <w:rFonts w:ascii="Arial" w:hAnsi="Arial" w:cs="Arial"/>
          <w:sz w:val="22"/>
          <w:szCs w:val="22"/>
        </w:rPr>
        <w:t xml:space="preserve">. </w:t>
      </w:r>
    </w:p>
    <w:p w14:paraId="266DC9C3" w14:textId="77777777" w:rsidR="00F10A7D" w:rsidRPr="00425814" w:rsidRDefault="00F10A7D" w:rsidP="00DF4AC7">
      <w:pPr>
        <w:pStyle w:val="NormalWeb"/>
        <w:spacing w:before="0" w:beforeAutospacing="0" w:after="0" w:afterAutospacing="0" w:line="276" w:lineRule="auto"/>
        <w:jc w:val="both"/>
        <w:rPr>
          <w:rFonts w:ascii="Arial" w:hAnsi="Arial" w:cs="Arial"/>
          <w:b/>
          <w:bCs/>
          <w:color w:val="000000"/>
          <w:sz w:val="22"/>
          <w:szCs w:val="22"/>
        </w:rPr>
      </w:pPr>
      <w:bookmarkStart w:id="2" w:name="art18§1xii"/>
      <w:bookmarkEnd w:id="2"/>
    </w:p>
    <w:p w14:paraId="2FD0EC41" w14:textId="281E1DE6" w:rsidR="00F62C01" w:rsidRPr="00425814" w:rsidRDefault="00AA1058"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lastRenderedPageBreak/>
        <w:t xml:space="preserve">12. POSSÍVEIS IMPACTOS AMBIENTAIS </w:t>
      </w:r>
    </w:p>
    <w:p w14:paraId="38C35702" w14:textId="4F62DC86" w:rsidR="00EF0762" w:rsidRDefault="00546A9D" w:rsidP="00DF4AC7">
      <w:pPr>
        <w:pStyle w:val="NormalWeb"/>
        <w:spacing w:before="0" w:beforeAutospacing="0" w:after="0" w:afterAutospacing="0" w:line="276" w:lineRule="auto"/>
        <w:jc w:val="both"/>
        <w:rPr>
          <w:rFonts w:ascii="Arial" w:hAnsi="Arial" w:cs="Arial"/>
          <w:sz w:val="22"/>
          <w:szCs w:val="22"/>
        </w:rPr>
      </w:pPr>
      <w:bookmarkStart w:id="3" w:name="art18§1xiii"/>
      <w:bookmarkEnd w:id="3"/>
      <w:r w:rsidRPr="00546A9D">
        <w:rPr>
          <w:rFonts w:ascii="Arial" w:hAnsi="Arial" w:cs="Arial"/>
          <w:sz w:val="22"/>
          <w:szCs w:val="22"/>
        </w:rPr>
        <w:t>A contratação possui baixo potencial de impacto ambiental, considerando que os serviços serão executados predominantemente de forma remota.</w:t>
      </w:r>
    </w:p>
    <w:p w14:paraId="445D6F01" w14:textId="77777777" w:rsidR="00546A9D" w:rsidRPr="00425814" w:rsidRDefault="00546A9D" w:rsidP="00DF4AC7">
      <w:pPr>
        <w:pStyle w:val="NormalWeb"/>
        <w:spacing w:before="0" w:beforeAutospacing="0" w:after="0" w:afterAutospacing="0" w:line="276" w:lineRule="auto"/>
        <w:jc w:val="both"/>
        <w:rPr>
          <w:rFonts w:ascii="Arial" w:hAnsi="Arial" w:cs="Arial"/>
          <w:b/>
          <w:bCs/>
          <w:color w:val="000000"/>
          <w:sz w:val="22"/>
          <w:szCs w:val="22"/>
        </w:rPr>
      </w:pPr>
    </w:p>
    <w:p w14:paraId="7D04431D" w14:textId="7FD8BC78" w:rsidR="00F62C01" w:rsidRPr="00425814" w:rsidRDefault="00590B3B" w:rsidP="00DF4AC7">
      <w:pPr>
        <w:pStyle w:val="NormalWeb"/>
        <w:spacing w:before="0" w:beforeAutospacing="0" w:after="0" w:afterAutospacing="0" w:line="276" w:lineRule="auto"/>
        <w:jc w:val="both"/>
        <w:rPr>
          <w:rFonts w:ascii="Arial" w:hAnsi="Arial" w:cs="Arial"/>
          <w:b/>
          <w:bCs/>
          <w:color w:val="000000"/>
          <w:sz w:val="22"/>
          <w:szCs w:val="22"/>
        </w:rPr>
      </w:pPr>
      <w:r w:rsidRPr="00425814">
        <w:rPr>
          <w:rFonts w:ascii="Arial" w:hAnsi="Arial" w:cs="Arial"/>
          <w:b/>
          <w:bCs/>
          <w:color w:val="000000"/>
          <w:sz w:val="22"/>
          <w:szCs w:val="22"/>
        </w:rPr>
        <w:t xml:space="preserve">13. DECLARAÇÃO DE VIABILIDADE </w:t>
      </w:r>
    </w:p>
    <w:p w14:paraId="1DB726EE" w14:textId="0F1F3C72" w:rsidR="0047583C" w:rsidRPr="00425814" w:rsidRDefault="00590B3B" w:rsidP="00DF4AC7">
      <w:pPr>
        <w:pStyle w:val="NormalWeb"/>
        <w:spacing w:before="0" w:beforeAutospacing="0" w:after="0" w:afterAutospacing="0" w:line="276" w:lineRule="auto"/>
        <w:jc w:val="both"/>
        <w:rPr>
          <w:rFonts w:ascii="Arial" w:hAnsi="Arial" w:cs="Arial"/>
          <w:sz w:val="22"/>
          <w:szCs w:val="22"/>
        </w:rPr>
      </w:pPr>
      <w:r w:rsidRPr="00425814">
        <w:rPr>
          <w:rFonts w:ascii="Arial" w:hAnsi="Arial" w:cs="Arial"/>
          <w:sz w:val="22"/>
          <w:szCs w:val="22"/>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440FA49" w14:textId="77777777" w:rsidR="00EF0762" w:rsidRPr="00425814" w:rsidRDefault="00EF0762" w:rsidP="00DF4AC7">
      <w:pPr>
        <w:pStyle w:val="NormalWeb"/>
        <w:spacing w:before="0" w:beforeAutospacing="0" w:after="0" w:afterAutospacing="0" w:line="276" w:lineRule="auto"/>
        <w:jc w:val="both"/>
        <w:rPr>
          <w:rFonts w:ascii="Arial" w:hAnsi="Arial" w:cs="Arial"/>
          <w:sz w:val="22"/>
          <w:szCs w:val="22"/>
        </w:rPr>
      </w:pPr>
    </w:p>
    <w:p w14:paraId="1E11397D" w14:textId="7E9F3A56" w:rsidR="003A5B89" w:rsidRPr="00425814" w:rsidRDefault="003A5B89" w:rsidP="00DF4AC7">
      <w:pPr>
        <w:tabs>
          <w:tab w:val="left" w:pos="1134"/>
        </w:tabs>
        <w:spacing w:line="276" w:lineRule="auto"/>
        <w:jc w:val="center"/>
        <w:rPr>
          <w:szCs w:val="22"/>
        </w:rPr>
      </w:pPr>
      <w:r w:rsidRPr="00425814">
        <w:rPr>
          <w:szCs w:val="22"/>
        </w:rPr>
        <w:t xml:space="preserve">Miraguaí – RS, </w:t>
      </w:r>
      <w:r w:rsidR="00BE7801">
        <w:rPr>
          <w:szCs w:val="22"/>
        </w:rPr>
        <w:t>1</w:t>
      </w:r>
      <w:r w:rsidR="006B39CB">
        <w:rPr>
          <w:szCs w:val="22"/>
        </w:rPr>
        <w:t>3</w:t>
      </w:r>
      <w:r w:rsidR="0090359F">
        <w:rPr>
          <w:szCs w:val="22"/>
        </w:rPr>
        <w:t xml:space="preserve"> </w:t>
      </w:r>
      <w:r w:rsidRPr="00425814">
        <w:rPr>
          <w:szCs w:val="22"/>
        </w:rPr>
        <w:t xml:space="preserve">de </w:t>
      </w:r>
      <w:r w:rsidR="00BE7801">
        <w:rPr>
          <w:szCs w:val="22"/>
        </w:rPr>
        <w:t>maio</w:t>
      </w:r>
      <w:r w:rsidR="00417200">
        <w:rPr>
          <w:szCs w:val="22"/>
        </w:rPr>
        <w:t xml:space="preserve"> </w:t>
      </w:r>
      <w:r w:rsidRPr="00425814">
        <w:rPr>
          <w:szCs w:val="22"/>
        </w:rPr>
        <w:t>de 202</w:t>
      </w:r>
      <w:r w:rsidR="00BE7801">
        <w:rPr>
          <w:szCs w:val="22"/>
        </w:rPr>
        <w:t>6</w:t>
      </w:r>
      <w:r w:rsidRPr="00425814">
        <w:rPr>
          <w:szCs w:val="22"/>
        </w:rPr>
        <w:t>.</w:t>
      </w:r>
    </w:p>
    <w:p w14:paraId="1A95B1B5" w14:textId="45AE0012" w:rsidR="00AD1714" w:rsidRPr="00425814" w:rsidRDefault="00AD1714" w:rsidP="00DF4AC7">
      <w:pPr>
        <w:spacing w:line="276" w:lineRule="auto"/>
        <w:jc w:val="center"/>
        <w:rPr>
          <w:szCs w:val="22"/>
        </w:rPr>
      </w:pPr>
    </w:p>
    <w:p w14:paraId="33C25397" w14:textId="77777777" w:rsidR="00883E51" w:rsidRPr="00425814" w:rsidRDefault="00883E51" w:rsidP="00DF4AC7">
      <w:pPr>
        <w:spacing w:line="276" w:lineRule="auto"/>
        <w:jc w:val="center"/>
        <w:rPr>
          <w:szCs w:val="22"/>
        </w:rPr>
      </w:pPr>
    </w:p>
    <w:p w14:paraId="5E146F96" w14:textId="77777777" w:rsidR="00883E51" w:rsidRPr="00425814" w:rsidRDefault="00883E51" w:rsidP="00DF4AC7">
      <w:pPr>
        <w:spacing w:line="276" w:lineRule="auto"/>
        <w:jc w:val="center"/>
        <w:rPr>
          <w:szCs w:val="22"/>
        </w:rPr>
      </w:pPr>
    </w:p>
    <w:p w14:paraId="522A300C" w14:textId="33713F49" w:rsidR="00F75C5A" w:rsidRPr="00425814" w:rsidRDefault="00F75C5A" w:rsidP="00DF4AC7">
      <w:pPr>
        <w:spacing w:line="276" w:lineRule="auto"/>
        <w:jc w:val="center"/>
        <w:rPr>
          <w:szCs w:val="22"/>
        </w:rPr>
      </w:pPr>
      <w:r w:rsidRPr="00425814">
        <w:rPr>
          <w:szCs w:val="22"/>
        </w:rPr>
        <w:t>_________________________________________</w:t>
      </w:r>
    </w:p>
    <w:p w14:paraId="0C0200E7" w14:textId="3E371EB2" w:rsidR="007F5814" w:rsidRPr="00425814" w:rsidRDefault="006B39CB" w:rsidP="006B39CB">
      <w:pPr>
        <w:spacing w:line="276" w:lineRule="auto"/>
        <w:jc w:val="center"/>
        <w:rPr>
          <w:b/>
          <w:bCs/>
          <w:szCs w:val="22"/>
        </w:rPr>
      </w:pPr>
      <w:r>
        <w:rPr>
          <w:b/>
          <w:bCs/>
          <w:szCs w:val="22"/>
        </w:rPr>
        <w:t>FLAVIO VENZO</w:t>
      </w:r>
    </w:p>
    <w:p w14:paraId="030B105A" w14:textId="2E720285" w:rsidR="00AD1714" w:rsidRPr="00425814" w:rsidRDefault="00AD1714" w:rsidP="00DF4AC7">
      <w:pPr>
        <w:spacing w:line="276" w:lineRule="auto"/>
        <w:jc w:val="center"/>
        <w:rPr>
          <w:szCs w:val="22"/>
        </w:rPr>
      </w:pPr>
      <w:r w:rsidRPr="00425814">
        <w:rPr>
          <w:szCs w:val="22"/>
        </w:rPr>
        <w:t>Secretári</w:t>
      </w:r>
      <w:r w:rsidR="00DF1A43">
        <w:rPr>
          <w:szCs w:val="22"/>
        </w:rPr>
        <w:t>o</w:t>
      </w:r>
      <w:r w:rsidRPr="00425814">
        <w:rPr>
          <w:szCs w:val="22"/>
        </w:rPr>
        <w:t xml:space="preserve"> Municipal d</w:t>
      </w:r>
      <w:r w:rsidR="0090359F">
        <w:rPr>
          <w:szCs w:val="22"/>
        </w:rPr>
        <w:t xml:space="preserve">e </w:t>
      </w:r>
      <w:r w:rsidR="006B39CB">
        <w:rPr>
          <w:szCs w:val="22"/>
        </w:rPr>
        <w:t>Administração</w:t>
      </w:r>
    </w:p>
    <w:p w14:paraId="33FC1088" w14:textId="2813A50F" w:rsidR="00321389" w:rsidRPr="00425814" w:rsidRDefault="00AD1714" w:rsidP="00DF4AC7">
      <w:pPr>
        <w:spacing w:line="276" w:lineRule="auto"/>
        <w:jc w:val="center"/>
        <w:rPr>
          <w:szCs w:val="22"/>
        </w:rPr>
      </w:pPr>
      <w:r w:rsidRPr="00425814">
        <w:rPr>
          <w:szCs w:val="22"/>
        </w:rPr>
        <w:t>Miraguaí-RS</w:t>
      </w:r>
    </w:p>
    <w:sectPr w:rsidR="00321389" w:rsidRPr="00425814" w:rsidSect="00EF0762">
      <w:footerReference w:type="default" r:id="rId8"/>
      <w:pgSz w:w="11906" w:h="16838"/>
      <w:pgMar w:top="2552" w:right="849"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19F5" w14:textId="77777777" w:rsidR="0077146C" w:rsidRDefault="0077146C">
      <w:r>
        <w:separator/>
      </w:r>
    </w:p>
  </w:endnote>
  <w:endnote w:type="continuationSeparator" w:id="0">
    <w:p w14:paraId="2FADFA09" w14:textId="77777777" w:rsidR="0077146C" w:rsidRDefault="0077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FE3876" w:rsidRDefault="00FE3876" w:rsidP="00A7152C">
        <w:pPr>
          <w:pStyle w:val="Rodap"/>
          <w:jc w:val="right"/>
        </w:pPr>
        <w:r>
          <w:fldChar w:fldCharType="begin"/>
        </w:r>
        <w:r>
          <w:instrText>PAGE   \* MERGEFORMAT</w:instrText>
        </w:r>
        <w:r>
          <w:fldChar w:fldCharType="separate"/>
        </w:r>
        <w:r w:rsidR="00D53182">
          <w:rPr>
            <w:noProof/>
          </w:rPr>
          <w:t>8</w:t>
        </w:r>
        <w:r>
          <w:fldChar w:fldCharType="end"/>
        </w:r>
      </w:p>
    </w:sdtContent>
  </w:sdt>
  <w:p w14:paraId="543CF7EE" w14:textId="77777777" w:rsidR="00FE3876" w:rsidRPr="00502E0D" w:rsidRDefault="00FE3876"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C79D" w14:textId="77777777" w:rsidR="0077146C" w:rsidRDefault="0077146C">
      <w:r>
        <w:separator/>
      </w:r>
    </w:p>
  </w:footnote>
  <w:footnote w:type="continuationSeparator" w:id="0">
    <w:p w14:paraId="410A2B00" w14:textId="77777777" w:rsidR="0077146C" w:rsidRDefault="0077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1"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3D30F6"/>
    <w:multiLevelType w:val="hybridMultilevel"/>
    <w:tmpl w:val="605E61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5" w15:restartNumberingAfterBreak="0">
    <w:nsid w:val="2E593C03"/>
    <w:multiLevelType w:val="hybridMultilevel"/>
    <w:tmpl w:val="FDC07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B20D0A"/>
    <w:multiLevelType w:val="hybridMultilevel"/>
    <w:tmpl w:val="DEB2FB04"/>
    <w:lvl w:ilvl="0" w:tplc="52D662EE">
      <w:start w:val="1"/>
      <w:numFmt w:val="decimal"/>
      <w:lvlText w:val="%1."/>
      <w:lvlJc w:val="left"/>
      <w:pPr>
        <w:ind w:left="567"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5" w15:restartNumberingAfterBreak="0">
    <w:nsid w:val="4EDA5083"/>
    <w:multiLevelType w:val="hybridMultilevel"/>
    <w:tmpl w:val="142C42DC"/>
    <w:lvl w:ilvl="0" w:tplc="9A0EA366">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6" w15:restartNumberingAfterBreak="0">
    <w:nsid w:val="560952C6"/>
    <w:multiLevelType w:val="hybridMultilevel"/>
    <w:tmpl w:val="890E4B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8"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9"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30593D"/>
    <w:multiLevelType w:val="hybridMultilevel"/>
    <w:tmpl w:val="69ECE5AE"/>
    <w:lvl w:ilvl="0" w:tplc="44640A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3"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4" w15:restartNumberingAfterBreak="0">
    <w:nsid w:val="70F36B39"/>
    <w:multiLevelType w:val="multilevel"/>
    <w:tmpl w:val="680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516313B"/>
    <w:multiLevelType w:val="hybridMultilevel"/>
    <w:tmpl w:val="DF8A2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6A902B3"/>
    <w:multiLevelType w:val="multilevel"/>
    <w:tmpl w:val="908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38653862">
    <w:abstractNumId w:val="0"/>
  </w:num>
  <w:num w:numId="2" w16cid:durableId="1271624877">
    <w:abstractNumId w:val="1"/>
  </w:num>
  <w:num w:numId="3" w16cid:durableId="814760593">
    <w:abstractNumId w:val="23"/>
  </w:num>
  <w:num w:numId="4" w16cid:durableId="2101246348">
    <w:abstractNumId w:val="2"/>
  </w:num>
  <w:num w:numId="5" w16cid:durableId="1302268108">
    <w:abstractNumId w:val="11"/>
  </w:num>
  <w:num w:numId="6" w16cid:durableId="215750945">
    <w:abstractNumId w:val="7"/>
  </w:num>
  <w:num w:numId="7" w16cid:durableId="2015574080">
    <w:abstractNumId w:val="21"/>
  </w:num>
  <w:num w:numId="8" w16cid:durableId="955211597">
    <w:abstractNumId w:val="3"/>
  </w:num>
  <w:num w:numId="9" w16cid:durableId="1230186574">
    <w:abstractNumId w:val="10"/>
  </w:num>
  <w:num w:numId="10" w16cid:durableId="1454862165">
    <w:abstractNumId w:val="27"/>
  </w:num>
  <w:num w:numId="11" w16cid:durableId="329985456">
    <w:abstractNumId w:val="28"/>
  </w:num>
  <w:num w:numId="12" w16cid:durableId="2129859475">
    <w:abstractNumId w:val="32"/>
  </w:num>
  <w:num w:numId="13" w16cid:durableId="776601899">
    <w:abstractNumId w:val="14"/>
  </w:num>
  <w:num w:numId="14" w16cid:durableId="309017922">
    <w:abstractNumId w:val="33"/>
  </w:num>
  <w:num w:numId="15" w16cid:durableId="1842744585">
    <w:abstractNumId w:val="9"/>
  </w:num>
  <w:num w:numId="16" w16cid:durableId="985548498">
    <w:abstractNumId w:val="24"/>
  </w:num>
  <w:num w:numId="17" w16cid:durableId="1812283668">
    <w:abstractNumId w:val="5"/>
  </w:num>
  <w:num w:numId="18" w16cid:durableId="62608772">
    <w:abstractNumId w:val="16"/>
  </w:num>
  <w:num w:numId="19" w16cid:durableId="34472733">
    <w:abstractNumId w:val="30"/>
  </w:num>
  <w:num w:numId="20" w16cid:durableId="1534270191">
    <w:abstractNumId w:val="29"/>
  </w:num>
  <w:num w:numId="21" w16cid:durableId="451443870">
    <w:abstractNumId w:val="4"/>
  </w:num>
  <w:num w:numId="22" w16cid:durableId="933709992">
    <w:abstractNumId w:val="38"/>
  </w:num>
  <w:num w:numId="23" w16cid:durableId="1580090337">
    <w:abstractNumId w:val="17"/>
  </w:num>
  <w:num w:numId="24" w16cid:durableId="1205408336">
    <w:abstractNumId w:val="35"/>
  </w:num>
  <w:num w:numId="25" w16cid:durableId="1969584785">
    <w:abstractNumId w:val="22"/>
  </w:num>
  <w:num w:numId="26" w16cid:durableId="1326592000">
    <w:abstractNumId w:val="6"/>
  </w:num>
  <w:num w:numId="27" w16cid:durableId="632053734">
    <w:abstractNumId w:val="12"/>
  </w:num>
  <w:num w:numId="28" w16cid:durableId="681397533">
    <w:abstractNumId w:val="8"/>
  </w:num>
  <w:num w:numId="29" w16cid:durableId="933050323">
    <w:abstractNumId w:val="19"/>
  </w:num>
  <w:num w:numId="30" w16cid:durableId="2068674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2910413">
    <w:abstractNumId w:val="15"/>
  </w:num>
  <w:num w:numId="32" w16cid:durableId="591085399">
    <w:abstractNumId w:val="31"/>
  </w:num>
  <w:num w:numId="33" w16cid:durableId="570311858">
    <w:abstractNumId w:val="18"/>
  </w:num>
  <w:num w:numId="34" w16cid:durableId="414597816">
    <w:abstractNumId w:val="20"/>
  </w:num>
  <w:num w:numId="35" w16cid:durableId="765617362">
    <w:abstractNumId w:val="34"/>
  </w:num>
  <w:num w:numId="36" w16cid:durableId="1314290528">
    <w:abstractNumId w:val="36"/>
  </w:num>
  <w:num w:numId="37" w16cid:durableId="1408576587">
    <w:abstractNumId w:val="37"/>
  </w:num>
  <w:num w:numId="38" w16cid:durableId="958224060">
    <w:abstractNumId w:val="13"/>
  </w:num>
  <w:num w:numId="39" w16cid:durableId="233206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21558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02DC1"/>
    <w:rsid w:val="000078E3"/>
    <w:rsid w:val="00013EC9"/>
    <w:rsid w:val="00014B51"/>
    <w:rsid w:val="00015A73"/>
    <w:rsid w:val="0002202A"/>
    <w:rsid w:val="0002424F"/>
    <w:rsid w:val="0002783F"/>
    <w:rsid w:val="00034C98"/>
    <w:rsid w:val="0004514C"/>
    <w:rsid w:val="00052E80"/>
    <w:rsid w:val="00053E01"/>
    <w:rsid w:val="00054D2D"/>
    <w:rsid w:val="0005740E"/>
    <w:rsid w:val="000603D1"/>
    <w:rsid w:val="000614F9"/>
    <w:rsid w:val="00063E86"/>
    <w:rsid w:val="0006680B"/>
    <w:rsid w:val="00071ED4"/>
    <w:rsid w:val="000722DF"/>
    <w:rsid w:val="000726C4"/>
    <w:rsid w:val="00076E4E"/>
    <w:rsid w:val="000779DC"/>
    <w:rsid w:val="00082BDC"/>
    <w:rsid w:val="00085456"/>
    <w:rsid w:val="000901AF"/>
    <w:rsid w:val="00092A81"/>
    <w:rsid w:val="000A52F7"/>
    <w:rsid w:val="000A6868"/>
    <w:rsid w:val="000A79CF"/>
    <w:rsid w:val="000B4283"/>
    <w:rsid w:val="000B7CAB"/>
    <w:rsid w:val="000D3F6D"/>
    <w:rsid w:val="000E417E"/>
    <w:rsid w:val="000F51ED"/>
    <w:rsid w:val="000F5497"/>
    <w:rsid w:val="00103401"/>
    <w:rsid w:val="00106662"/>
    <w:rsid w:val="00110941"/>
    <w:rsid w:val="0011102F"/>
    <w:rsid w:val="00112C7B"/>
    <w:rsid w:val="00120E0C"/>
    <w:rsid w:val="00123E80"/>
    <w:rsid w:val="001246FD"/>
    <w:rsid w:val="00131B64"/>
    <w:rsid w:val="00133354"/>
    <w:rsid w:val="001336A6"/>
    <w:rsid w:val="00135D0E"/>
    <w:rsid w:val="0014080C"/>
    <w:rsid w:val="00144E3A"/>
    <w:rsid w:val="0016054F"/>
    <w:rsid w:val="001610FA"/>
    <w:rsid w:val="0016320E"/>
    <w:rsid w:val="00171589"/>
    <w:rsid w:val="00171BB7"/>
    <w:rsid w:val="0018150E"/>
    <w:rsid w:val="00181FE2"/>
    <w:rsid w:val="0019568D"/>
    <w:rsid w:val="00196BBF"/>
    <w:rsid w:val="001A2931"/>
    <w:rsid w:val="001B124B"/>
    <w:rsid w:val="001C3A0F"/>
    <w:rsid w:val="001D16D4"/>
    <w:rsid w:val="001D4F88"/>
    <w:rsid w:val="001F0203"/>
    <w:rsid w:val="001F0752"/>
    <w:rsid w:val="001F4451"/>
    <w:rsid w:val="001F6B11"/>
    <w:rsid w:val="001F7082"/>
    <w:rsid w:val="002015D3"/>
    <w:rsid w:val="00203C09"/>
    <w:rsid w:val="00204E90"/>
    <w:rsid w:val="0020551E"/>
    <w:rsid w:val="002138CA"/>
    <w:rsid w:val="00213B6E"/>
    <w:rsid w:val="0022312A"/>
    <w:rsid w:val="00231F44"/>
    <w:rsid w:val="002345E1"/>
    <w:rsid w:val="00236995"/>
    <w:rsid w:val="00237F4C"/>
    <w:rsid w:val="0024029F"/>
    <w:rsid w:val="00241818"/>
    <w:rsid w:val="0024323B"/>
    <w:rsid w:val="00247EDE"/>
    <w:rsid w:val="00247FF3"/>
    <w:rsid w:val="002504F1"/>
    <w:rsid w:val="002518A7"/>
    <w:rsid w:val="00257E37"/>
    <w:rsid w:val="002664D0"/>
    <w:rsid w:val="00271A45"/>
    <w:rsid w:val="00276736"/>
    <w:rsid w:val="0028234D"/>
    <w:rsid w:val="00282F97"/>
    <w:rsid w:val="0028692C"/>
    <w:rsid w:val="00291F15"/>
    <w:rsid w:val="00294A3B"/>
    <w:rsid w:val="002955B8"/>
    <w:rsid w:val="002B1997"/>
    <w:rsid w:val="002B3B55"/>
    <w:rsid w:val="002B55B3"/>
    <w:rsid w:val="002B6B47"/>
    <w:rsid w:val="002D163D"/>
    <w:rsid w:val="002D6C20"/>
    <w:rsid w:val="002E24B9"/>
    <w:rsid w:val="002E503B"/>
    <w:rsid w:val="002F0356"/>
    <w:rsid w:val="002F130B"/>
    <w:rsid w:val="002F26B5"/>
    <w:rsid w:val="002F5384"/>
    <w:rsid w:val="00304421"/>
    <w:rsid w:val="00305DD1"/>
    <w:rsid w:val="00306E49"/>
    <w:rsid w:val="00312617"/>
    <w:rsid w:val="0031422F"/>
    <w:rsid w:val="0031529A"/>
    <w:rsid w:val="00321183"/>
    <w:rsid w:val="00321389"/>
    <w:rsid w:val="00322D62"/>
    <w:rsid w:val="00326EFF"/>
    <w:rsid w:val="003323D2"/>
    <w:rsid w:val="003341D7"/>
    <w:rsid w:val="003355F4"/>
    <w:rsid w:val="0033619B"/>
    <w:rsid w:val="00336662"/>
    <w:rsid w:val="00342AFE"/>
    <w:rsid w:val="00342B0B"/>
    <w:rsid w:val="00357F2C"/>
    <w:rsid w:val="003603E6"/>
    <w:rsid w:val="00360953"/>
    <w:rsid w:val="0036218D"/>
    <w:rsid w:val="00374435"/>
    <w:rsid w:val="0037799F"/>
    <w:rsid w:val="003839B2"/>
    <w:rsid w:val="003840D5"/>
    <w:rsid w:val="003854C3"/>
    <w:rsid w:val="00387AA6"/>
    <w:rsid w:val="00387C41"/>
    <w:rsid w:val="003931DF"/>
    <w:rsid w:val="003A5B89"/>
    <w:rsid w:val="003A5CEF"/>
    <w:rsid w:val="003B6739"/>
    <w:rsid w:val="003B677C"/>
    <w:rsid w:val="003C3D56"/>
    <w:rsid w:val="003C7A4A"/>
    <w:rsid w:val="003D2171"/>
    <w:rsid w:val="003D4B43"/>
    <w:rsid w:val="003D635C"/>
    <w:rsid w:val="003D7816"/>
    <w:rsid w:val="003E034A"/>
    <w:rsid w:val="003E2A1B"/>
    <w:rsid w:val="003E5992"/>
    <w:rsid w:val="003E6EDB"/>
    <w:rsid w:val="003F5E45"/>
    <w:rsid w:val="00401BA4"/>
    <w:rsid w:val="00401C3A"/>
    <w:rsid w:val="00410ADF"/>
    <w:rsid w:val="00417200"/>
    <w:rsid w:val="004207F5"/>
    <w:rsid w:val="00425814"/>
    <w:rsid w:val="0043387A"/>
    <w:rsid w:val="00434229"/>
    <w:rsid w:val="004417A7"/>
    <w:rsid w:val="004469DB"/>
    <w:rsid w:val="004502D1"/>
    <w:rsid w:val="004511A1"/>
    <w:rsid w:val="00452171"/>
    <w:rsid w:val="0046538C"/>
    <w:rsid w:val="00474CB8"/>
    <w:rsid w:val="0047583C"/>
    <w:rsid w:val="0047742D"/>
    <w:rsid w:val="0049267E"/>
    <w:rsid w:val="004963C4"/>
    <w:rsid w:val="004A0242"/>
    <w:rsid w:val="004A39A7"/>
    <w:rsid w:val="004A4B5F"/>
    <w:rsid w:val="004A4CDC"/>
    <w:rsid w:val="004A57E1"/>
    <w:rsid w:val="004A5831"/>
    <w:rsid w:val="004A7A7C"/>
    <w:rsid w:val="004B2BD2"/>
    <w:rsid w:val="004B37C4"/>
    <w:rsid w:val="004C072E"/>
    <w:rsid w:val="004C077D"/>
    <w:rsid w:val="004C5E26"/>
    <w:rsid w:val="004D0F08"/>
    <w:rsid w:val="004D14A5"/>
    <w:rsid w:val="004D566E"/>
    <w:rsid w:val="004D675A"/>
    <w:rsid w:val="004D72FC"/>
    <w:rsid w:val="004E4868"/>
    <w:rsid w:val="004F2A98"/>
    <w:rsid w:val="00502E0D"/>
    <w:rsid w:val="00506BEA"/>
    <w:rsid w:val="005125C1"/>
    <w:rsid w:val="00520E37"/>
    <w:rsid w:val="00520F9B"/>
    <w:rsid w:val="00523FD0"/>
    <w:rsid w:val="005337F0"/>
    <w:rsid w:val="00533B87"/>
    <w:rsid w:val="005348FA"/>
    <w:rsid w:val="00535E75"/>
    <w:rsid w:val="0053657B"/>
    <w:rsid w:val="005365A5"/>
    <w:rsid w:val="00542CBC"/>
    <w:rsid w:val="00546A9D"/>
    <w:rsid w:val="00555116"/>
    <w:rsid w:val="0056346F"/>
    <w:rsid w:val="005643B5"/>
    <w:rsid w:val="0056581F"/>
    <w:rsid w:val="00581217"/>
    <w:rsid w:val="00590B3B"/>
    <w:rsid w:val="005924A4"/>
    <w:rsid w:val="00592EA8"/>
    <w:rsid w:val="005A1890"/>
    <w:rsid w:val="005A2613"/>
    <w:rsid w:val="005A3CC9"/>
    <w:rsid w:val="005A4421"/>
    <w:rsid w:val="005A7BED"/>
    <w:rsid w:val="005B1006"/>
    <w:rsid w:val="005C4615"/>
    <w:rsid w:val="005D0A15"/>
    <w:rsid w:val="005D1434"/>
    <w:rsid w:val="005E35D3"/>
    <w:rsid w:val="005E4757"/>
    <w:rsid w:val="005F250A"/>
    <w:rsid w:val="005F2EA7"/>
    <w:rsid w:val="005F3CFD"/>
    <w:rsid w:val="005F4B9E"/>
    <w:rsid w:val="00610E4D"/>
    <w:rsid w:val="006212C8"/>
    <w:rsid w:val="00623217"/>
    <w:rsid w:val="00623EDC"/>
    <w:rsid w:val="00624178"/>
    <w:rsid w:val="00624D44"/>
    <w:rsid w:val="00627A6A"/>
    <w:rsid w:val="00632719"/>
    <w:rsid w:val="0063292A"/>
    <w:rsid w:val="00635162"/>
    <w:rsid w:val="00645DCB"/>
    <w:rsid w:val="006632EC"/>
    <w:rsid w:val="006655EB"/>
    <w:rsid w:val="00667C07"/>
    <w:rsid w:val="00681D5E"/>
    <w:rsid w:val="0068575D"/>
    <w:rsid w:val="00686EA3"/>
    <w:rsid w:val="00697646"/>
    <w:rsid w:val="006A15A0"/>
    <w:rsid w:val="006A5F07"/>
    <w:rsid w:val="006B0D1B"/>
    <w:rsid w:val="006B2101"/>
    <w:rsid w:val="006B39CB"/>
    <w:rsid w:val="006C0EAB"/>
    <w:rsid w:val="006C1B76"/>
    <w:rsid w:val="006C2CD7"/>
    <w:rsid w:val="006C3941"/>
    <w:rsid w:val="006C7919"/>
    <w:rsid w:val="006D7DB5"/>
    <w:rsid w:val="006E29C6"/>
    <w:rsid w:val="006E5852"/>
    <w:rsid w:val="006F13FA"/>
    <w:rsid w:val="006F7A58"/>
    <w:rsid w:val="0070045A"/>
    <w:rsid w:val="00706559"/>
    <w:rsid w:val="00707202"/>
    <w:rsid w:val="00712342"/>
    <w:rsid w:val="007157C2"/>
    <w:rsid w:val="00717E7F"/>
    <w:rsid w:val="00720D03"/>
    <w:rsid w:val="00720FDF"/>
    <w:rsid w:val="00726AAE"/>
    <w:rsid w:val="00731EA0"/>
    <w:rsid w:val="00736BB3"/>
    <w:rsid w:val="0074088D"/>
    <w:rsid w:val="00744451"/>
    <w:rsid w:val="00757551"/>
    <w:rsid w:val="00764C29"/>
    <w:rsid w:val="00770CB0"/>
    <w:rsid w:val="0077146C"/>
    <w:rsid w:val="00774485"/>
    <w:rsid w:val="00781E34"/>
    <w:rsid w:val="00785B7D"/>
    <w:rsid w:val="00790558"/>
    <w:rsid w:val="007A019D"/>
    <w:rsid w:val="007A1A1D"/>
    <w:rsid w:val="007A5E07"/>
    <w:rsid w:val="007B2DC8"/>
    <w:rsid w:val="007B31CB"/>
    <w:rsid w:val="007C0E10"/>
    <w:rsid w:val="007C6843"/>
    <w:rsid w:val="007D1EC9"/>
    <w:rsid w:val="007D3A9D"/>
    <w:rsid w:val="007D510E"/>
    <w:rsid w:val="007D6BB8"/>
    <w:rsid w:val="007E5B7B"/>
    <w:rsid w:val="007E7737"/>
    <w:rsid w:val="007F097C"/>
    <w:rsid w:val="007F5814"/>
    <w:rsid w:val="00805C9C"/>
    <w:rsid w:val="00807A90"/>
    <w:rsid w:val="00813C3A"/>
    <w:rsid w:val="00813FCD"/>
    <w:rsid w:val="0081465F"/>
    <w:rsid w:val="0081748B"/>
    <w:rsid w:val="008201E8"/>
    <w:rsid w:val="00825E47"/>
    <w:rsid w:val="00825F11"/>
    <w:rsid w:val="00826ACD"/>
    <w:rsid w:val="00830211"/>
    <w:rsid w:val="0083187F"/>
    <w:rsid w:val="00832920"/>
    <w:rsid w:val="00833D8E"/>
    <w:rsid w:val="00840AD4"/>
    <w:rsid w:val="00842C1E"/>
    <w:rsid w:val="00855A5B"/>
    <w:rsid w:val="008648C8"/>
    <w:rsid w:val="00864B5C"/>
    <w:rsid w:val="008709B2"/>
    <w:rsid w:val="00881C74"/>
    <w:rsid w:val="0088253E"/>
    <w:rsid w:val="00883E51"/>
    <w:rsid w:val="00886A7A"/>
    <w:rsid w:val="0089125B"/>
    <w:rsid w:val="00894475"/>
    <w:rsid w:val="00895D2B"/>
    <w:rsid w:val="00896676"/>
    <w:rsid w:val="0089786B"/>
    <w:rsid w:val="008B6166"/>
    <w:rsid w:val="008C0F51"/>
    <w:rsid w:val="008C3CFF"/>
    <w:rsid w:val="008D3A67"/>
    <w:rsid w:val="008E0240"/>
    <w:rsid w:val="008E0846"/>
    <w:rsid w:val="008E4B41"/>
    <w:rsid w:val="008E6837"/>
    <w:rsid w:val="008E799A"/>
    <w:rsid w:val="008F1DE1"/>
    <w:rsid w:val="008F3C7B"/>
    <w:rsid w:val="008F4385"/>
    <w:rsid w:val="00901B56"/>
    <w:rsid w:val="0090359F"/>
    <w:rsid w:val="009057D3"/>
    <w:rsid w:val="00906C3B"/>
    <w:rsid w:val="00913E49"/>
    <w:rsid w:val="00917447"/>
    <w:rsid w:val="00917B9F"/>
    <w:rsid w:val="00930CBE"/>
    <w:rsid w:val="00931554"/>
    <w:rsid w:val="00932167"/>
    <w:rsid w:val="00933A18"/>
    <w:rsid w:val="00934C46"/>
    <w:rsid w:val="00936612"/>
    <w:rsid w:val="00946011"/>
    <w:rsid w:val="009538DB"/>
    <w:rsid w:val="009600DD"/>
    <w:rsid w:val="009606A0"/>
    <w:rsid w:val="00962245"/>
    <w:rsid w:val="0096578C"/>
    <w:rsid w:val="0096624A"/>
    <w:rsid w:val="009721AC"/>
    <w:rsid w:val="00981B82"/>
    <w:rsid w:val="0098202F"/>
    <w:rsid w:val="00983928"/>
    <w:rsid w:val="0098755F"/>
    <w:rsid w:val="009927AC"/>
    <w:rsid w:val="009966BE"/>
    <w:rsid w:val="009C3170"/>
    <w:rsid w:val="009C5BC6"/>
    <w:rsid w:val="009D0FC5"/>
    <w:rsid w:val="009D1080"/>
    <w:rsid w:val="009D48B5"/>
    <w:rsid w:val="009D7062"/>
    <w:rsid w:val="009F5767"/>
    <w:rsid w:val="00A01736"/>
    <w:rsid w:val="00A0471D"/>
    <w:rsid w:val="00A04BBC"/>
    <w:rsid w:val="00A073FC"/>
    <w:rsid w:val="00A10C77"/>
    <w:rsid w:val="00A14341"/>
    <w:rsid w:val="00A17AB4"/>
    <w:rsid w:val="00A21CB3"/>
    <w:rsid w:val="00A27D0A"/>
    <w:rsid w:val="00A3184A"/>
    <w:rsid w:val="00A411A1"/>
    <w:rsid w:val="00A41F1E"/>
    <w:rsid w:val="00A50365"/>
    <w:rsid w:val="00A546A1"/>
    <w:rsid w:val="00A60CE8"/>
    <w:rsid w:val="00A70706"/>
    <w:rsid w:val="00A7152C"/>
    <w:rsid w:val="00A72BD3"/>
    <w:rsid w:val="00A742CC"/>
    <w:rsid w:val="00A82DB3"/>
    <w:rsid w:val="00A832EC"/>
    <w:rsid w:val="00A85A9F"/>
    <w:rsid w:val="00A864F3"/>
    <w:rsid w:val="00A94C95"/>
    <w:rsid w:val="00A96191"/>
    <w:rsid w:val="00A96565"/>
    <w:rsid w:val="00AA1058"/>
    <w:rsid w:val="00AA2FF8"/>
    <w:rsid w:val="00AA3AB2"/>
    <w:rsid w:val="00AA7729"/>
    <w:rsid w:val="00AA7C51"/>
    <w:rsid w:val="00AB1E5F"/>
    <w:rsid w:val="00AC0311"/>
    <w:rsid w:val="00AC4E37"/>
    <w:rsid w:val="00AC69E9"/>
    <w:rsid w:val="00AC6DE8"/>
    <w:rsid w:val="00AD1714"/>
    <w:rsid w:val="00AD2AA7"/>
    <w:rsid w:val="00AD531A"/>
    <w:rsid w:val="00AE4244"/>
    <w:rsid w:val="00AE66AB"/>
    <w:rsid w:val="00AF10A7"/>
    <w:rsid w:val="00AF43CC"/>
    <w:rsid w:val="00AF6450"/>
    <w:rsid w:val="00AF7224"/>
    <w:rsid w:val="00B03EBC"/>
    <w:rsid w:val="00B04BBE"/>
    <w:rsid w:val="00B06460"/>
    <w:rsid w:val="00B1151E"/>
    <w:rsid w:val="00B158A8"/>
    <w:rsid w:val="00B33E44"/>
    <w:rsid w:val="00B369BB"/>
    <w:rsid w:val="00B37DC0"/>
    <w:rsid w:val="00B41026"/>
    <w:rsid w:val="00B4358F"/>
    <w:rsid w:val="00B44F41"/>
    <w:rsid w:val="00B46A70"/>
    <w:rsid w:val="00B5299D"/>
    <w:rsid w:val="00B53F5B"/>
    <w:rsid w:val="00B82CB8"/>
    <w:rsid w:val="00B911A5"/>
    <w:rsid w:val="00B94C1D"/>
    <w:rsid w:val="00B95BE5"/>
    <w:rsid w:val="00B96321"/>
    <w:rsid w:val="00B96D5C"/>
    <w:rsid w:val="00BA7EC0"/>
    <w:rsid w:val="00BB22CE"/>
    <w:rsid w:val="00BB4A2E"/>
    <w:rsid w:val="00BC3FA6"/>
    <w:rsid w:val="00BC658F"/>
    <w:rsid w:val="00BC6F52"/>
    <w:rsid w:val="00BC7590"/>
    <w:rsid w:val="00BD1315"/>
    <w:rsid w:val="00BD16C7"/>
    <w:rsid w:val="00BD5649"/>
    <w:rsid w:val="00BE7801"/>
    <w:rsid w:val="00BF288C"/>
    <w:rsid w:val="00BF29DD"/>
    <w:rsid w:val="00BF4502"/>
    <w:rsid w:val="00C02D2F"/>
    <w:rsid w:val="00C117BA"/>
    <w:rsid w:val="00C13492"/>
    <w:rsid w:val="00C152B6"/>
    <w:rsid w:val="00C1565E"/>
    <w:rsid w:val="00C17098"/>
    <w:rsid w:val="00C238D7"/>
    <w:rsid w:val="00C23AE0"/>
    <w:rsid w:val="00C31B32"/>
    <w:rsid w:val="00C32744"/>
    <w:rsid w:val="00C4070D"/>
    <w:rsid w:val="00C4112F"/>
    <w:rsid w:val="00C41DBE"/>
    <w:rsid w:val="00C50C7F"/>
    <w:rsid w:val="00C52CA5"/>
    <w:rsid w:val="00C52E71"/>
    <w:rsid w:val="00C546D5"/>
    <w:rsid w:val="00C64969"/>
    <w:rsid w:val="00C64976"/>
    <w:rsid w:val="00C6593F"/>
    <w:rsid w:val="00C742D1"/>
    <w:rsid w:val="00C800EE"/>
    <w:rsid w:val="00C80396"/>
    <w:rsid w:val="00C829DF"/>
    <w:rsid w:val="00C82BBD"/>
    <w:rsid w:val="00C849E3"/>
    <w:rsid w:val="00C90F73"/>
    <w:rsid w:val="00C949F0"/>
    <w:rsid w:val="00C94E71"/>
    <w:rsid w:val="00CA1144"/>
    <w:rsid w:val="00CA1C8D"/>
    <w:rsid w:val="00CA2C48"/>
    <w:rsid w:val="00CB2565"/>
    <w:rsid w:val="00CB6578"/>
    <w:rsid w:val="00CC16CF"/>
    <w:rsid w:val="00CC37BB"/>
    <w:rsid w:val="00CC40D6"/>
    <w:rsid w:val="00CC6C90"/>
    <w:rsid w:val="00CD1323"/>
    <w:rsid w:val="00CD642D"/>
    <w:rsid w:val="00CD7855"/>
    <w:rsid w:val="00CE2C30"/>
    <w:rsid w:val="00CF0D16"/>
    <w:rsid w:val="00CF11FA"/>
    <w:rsid w:val="00CF4BA9"/>
    <w:rsid w:val="00CF6ED8"/>
    <w:rsid w:val="00CF78DB"/>
    <w:rsid w:val="00D008B8"/>
    <w:rsid w:val="00D0103F"/>
    <w:rsid w:val="00D05889"/>
    <w:rsid w:val="00D16074"/>
    <w:rsid w:val="00D31BAD"/>
    <w:rsid w:val="00D33AED"/>
    <w:rsid w:val="00D452AD"/>
    <w:rsid w:val="00D47D9C"/>
    <w:rsid w:val="00D50ACD"/>
    <w:rsid w:val="00D53182"/>
    <w:rsid w:val="00D616B6"/>
    <w:rsid w:val="00D6412A"/>
    <w:rsid w:val="00D66959"/>
    <w:rsid w:val="00D66FFC"/>
    <w:rsid w:val="00D7410F"/>
    <w:rsid w:val="00D77493"/>
    <w:rsid w:val="00D81169"/>
    <w:rsid w:val="00D8185A"/>
    <w:rsid w:val="00D8215F"/>
    <w:rsid w:val="00D84E0C"/>
    <w:rsid w:val="00DA1885"/>
    <w:rsid w:val="00DA24D7"/>
    <w:rsid w:val="00DA63B7"/>
    <w:rsid w:val="00DA7412"/>
    <w:rsid w:val="00DB21E4"/>
    <w:rsid w:val="00DC018A"/>
    <w:rsid w:val="00DC1A2B"/>
    <w:rsid w:val="00DD01B8"/>
    <w:rsid w:val="00DE0B44"/>
    <w:rsid w:val="00DE34B5"/>
    <w:rsid w:val="00DE3DC8"/>
    <w:rsid w:val="00DF17E5"/>
    <w:rsid w:val="00DF1A43"/>
    <w:rsid w:val="00DF4AC7"/>
    <w:rsid w:val="00DF7B37"/>
    <w:rsid w:val="00E037F1"/>
    <w:rsid w:val="00E07291"/>
    <w:rsid w:val="00E23A28"/>
    <w:rsid w:val="00E258AB"/>
    <w:rsid w:val="00E34344"/>
    <w:rsid w:val="00E40AD7"/>
    <w:rsid w:val="00E44769"/>
    <w:rsid w:val="00E54CCB"/>
    <w:rsid w:val="00E55CB8"/>
    <w:rsid w:val="00E569FF"/>
    <w:rsid w:val="00E56A69"/>
    <w:rsid w:val="00E56E9C"/>
    <w:rsid w:val="00E60B44"/>
    <w:rsid w:val="00E6255C"/>
    <w:rsid w:val="00E63DFF"/>
    <w:rsid w:val="00E74498"/>
    <w:rsid w:val="00E76A40"/>
    <w:rsid w:val="00E80693"/>
    <w:rsid w:val="00E8484A"/>
    <w:rsid w:val="00E92656"/>
    <w:rsid w:val="00E969DC"/>
    <w:rsid w:val="00EA3EFC"/>
    <w:rsid w:val="00EA57E0"/>
    <w:rsid w:val="00EB0EA8"/>
    <w:rsid w:val="00EB2F8D"/>
    <w:rsid w:val="00EB3014"/>
    <w:rsid w:val="00EB5414"/>
    <w:rsid w:val="00EC21C1"/>
    <w:rsid w:val="00EE46CB"/>
    <w:rsid w:val="00EE50C5"/>
    <w:rsid w:val="00EE6F28"/>
    <w:rsid w:val="00EE774F"/>
    <w:rsid w:val="00EF0762"/>
    <w:rsid w:val="00EF2F3C"/>
    <w:rsid w:val="00EF3A01"/>
    <w:rsid w:val="00EF3AF0"/>
    <w:rsid w:val="00EF6460"/>
    <w:rsid w:val="00EF7DFF"/>
    <w:rsid w:val="00F01689"/>
    <w:rsid w:val="00F10A7D"/>
    <w:rsid w:val="00F17494"/>
    <w:rsid w:val="00F17BB8"/>
    <w:rsid w:val="00F246DD"/>
    <w:rsid w:val="00F34F83"/>
    <w:rsid w:val="00F50696"/>
    <w:rsid w:val="00F50A45"/>
    <w:rsid w:val="00F619A0"/>
    <w:rsid w:val="00F62B2E"/>
    <w:rsid w:val="00F62C01"/>
    <w:rsid w:val="00F62D72"/>
    <w:rsid w:val="00F632D7"/>
    <w:rsid w:val="00F71E40"/>
    <w:rsid w:val="00F74086"/>
    <w:rsid w:val="00F75C5A"/>
    <w:rsid w:val="00F778AA"/>
    <w:rsid w:val="00F81D43"/>
    <w:rsid w:val="00F86912"/>
    <w:rsid w:val="00FA3D17"/>
    <w:rsid w:val="00FA4B99"/>
    <w:rsid w:val="00FA5B01"/>
    <w:rsid w:val="00FA6D5C"/>
    <w:rsid w:val="00FB0D9B"/>
    <w:rsid w:val="00FB3BC8"/>
    <w:rsid w:val="00FB45DF"/>
    <w:rsid w:val="00FC0161"/>
    <w:rsid w:val="00FC2590"/>
    <w:rsid w:val="00FD0D0E"/>
    <w:rsid w:val="00FE3023"/>
    <w:rsid w:val="00FE3876"/>
    <w:rsid w:val="00FF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003F4"/>
  <w15:docId w15:val="{1B764C1E-A2DE-4F8B-97A5-9BC9CD7E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link w:val="Ttulo1Char"/>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236995"/>
    <w:pPr>
      <w:keepNext/>
      <w:spacing w:before="240" w:after="60"/>
      <w:outlineLvl w:val="3"/>
    </w:pPr>
    <w:rPr>
      <w:rFonts w:ascii="Calibri" w:hAnsi="Calibri" w:cs="Times New Roman"/>
      <w:b/>
      <w:bCs/>
      <w:sz w:val="28"/>
      <w:szCs w:val="28"/>
      <w:lang w:eastAsia="pt-BR"/>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link w:val="TextodenotaderodapChar"/>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unhideWhenUsed/>
    <w:rsid w:val="00AC6DE8"/>
    <w:rPr>
      <w:color w:val="954F72" w:themeColor="followedHyperlink"/>
      <w:u w:val="single"/>
    </w:rPr>
  </w:style>
  <w:style w:type="character" w:customStyle="1" w:styleId="Ttulo2Char">
    <w:name w:val="Título 2 Char"/>
    <w:basedOn w:val="Fontepargpadro"/>
    <w:link w:val="Ttulo2"/>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character" w:customStyle="1" w:styleId="Ttulo4Char">
    <w:name w:val="Título 4 Char"/>
    <w:basedOn w:val="Fontepargpadro"/>
    <w:link w:val="Ttulo4"/>
    <w:semiHidden/>
    <w:rsid w:val="00236995"/>
    <w:rPr>
      <w:rFonts w:ascii="Calibri" w:hAnsi="Calibri"/>
      <w:b/>
      <w:bCs/>
      <w:sz w:val="28"/>
      <w:szCs w:val="28"/>
    </w:rPr>
  </w:style>
  <w:style w:type="paragraph" w:styleId="Textoembloco">
    <w:name w:val="Block Text"/>
    <w:basedOn w:val="Normal"/>
    <w:rsid w:val="00236995"/>
    <w:pPr>
      <w:ind w:left="4253" w:right="57" w:firstLine="1134"/>
      <w:jc w:val="both"/>
    </w:pPr>
    <w:rPr>
      <w:rFonts w:cs="Times New Roman"/>
      <w:i/>
      <w:spacing w:val="14"/>
      <w:lang w:eastAsia="pt-BR"/>
    </w:rPr>
  </w:style>
  <w:style w:type="table" w:styleId="SombreamentoClaro">
    <w:name w:val="Light Shading"/>
    <w:basedOn w:val="Tabelanormal"/>
    <w:uiPriority w:val="60"/>
    <w:rsid w:val="00236995"/>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36995"/>
    <w:pPr>
      <w:widowControl w:val="0"/>
      <w:suppressAutoHyphens/>
      <w:autoSpaceDN w:val="0"/>
    </w:pPr>
    <w:rPr>
      <w:rFonts w:eastAsia="Lucida Sans Unicode" w:cs="Tahoma"/>
      <w:kern w:val="3"/>
      <w:sz w:val="24"/>
      <w:szCs w:val="24"/>
    </w:rPr>
  </w:style>
  <w:style w:type="character" w:customStyle="1" w:styleId="Ttulo1Char">
    <w:name w:val="Título 1 Char"/>
    <w:link w:val="Ttulo1"/>
    <w:uiPriority w:val="9"/>
    <w:rsid w:val="00236995"/>
    <w:rPr>
      <w:rFonts w:ascii="Arial" w:hAnsi="Arial" w:cs="Arial"/>
      <w:b/>
      <w:kern w:val="1"/>
      <w:sz w:val="28"/>
      <w:lang w:eastAsia="zh-CN"/>
    </w:rPr>
  </w:style>
  <w:style w:type="character" w:customStyle="1" w:styleId="sh-dstrunc-txt">
    <w:name w:val="sh-ds__trunc-txt"/>
    <w:rsid w:val="00236995"/>
  </w:style>
  <w:style w:type="character" w:styleId="nfase">
    <w:name w:val="Emphasis"/>
    <w:uiPriority w:val="20"/>
    <w:qFormat/>
    <w:rsid w:val="00236995"/>
    <w:rPr>
      <w:i/>
      <w:iCs/>
    </w:rPr>
  </w:style>
  <w:style w:type="character" w:customStyle="1" w:styleId="st">
    <w:name w:val="st"/>
    <w:rsid w:val="00236995"/>
  </w:style>
  <w:style w:type="numbering" w:customStyle="1" w:styleId="Semlista1">
    <w:name w:val="Sem lista1"/>
    <w:next w:val="Semlista"/>
    <w:uiPriority w:val="99"/>
    <w:semiHidden/>
    <w:rsid w:val="00236995"/>
  </w:style>
  <w:style w:type="table" w:customStyle="1" w:styleId="Tabelacomgrade1">
    <w:name w:val="Tabela com grade1"/>
    <w:basedOn w:val="Tabelanormal"/>
    <w:next w:val="Tabelacomgrade"/>
    <w:uiPriority w:val="59"/>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236995"/>
    <w:rPr>
      <w:rFonts w:ascii="Arial" w:hAnsi="Arial" w:cs="Arial"/>
      <w:sz w:val="22"/>
      <w:lang w:eastAsia="zh-CN"/>
    </w:rPr>
  </w:style>
  <w:style w:type="paragraph" w:styleId="SemEspaamento">
    <w:name w:val="No Spacing"/>
    <w:uiPriority w:val="1"/>
    <w:qFormat/>
    <w:rsid w:val="00236995"/>
    <w:rPr>
      <w:rFonts w:ascii="Calibri" w:eastAsia="Calibri" w:hAnsi="Calibri"/>
      <w:sz w:val="22"/>
      <w:szCs w:val="22"/>
      <w:lang w:eastAsia="en-US"/>
    </w:rPr>
  </w:style>
  <w:style w:type="character" w:styleId="Forte">
    <w:name w:val="Strong"/>
    <w:uiPriority w:val="22"/>
    <w:qFormat/>
    <w:rsid w:val="00236995"/>
    <w:rPr>
      <w:b/>
      <w:bCs/>
    </w:rPr>
  </w:style>
  <w:style w:type="character" w:customStyle="1" w:styleId="apple-converted-space">
    <w:name w:val="apple-converted-space"/>
    <w:rsid w:val="00236995"/>
  </w:style>
  <w:style w:type="numbering" w:customStyle="1" w:styleId="Semlista2">
    <w:name w:val="Sem lista2"/>
    <w:next w:val="Semlista"/>
    <w:uiPriority w:val="99"/>
    <w:semiHidden/>
    <w:unhideWhenUsed/>
    <w:rsid w:val="00236995"/>
  </w:style>
  <w:style w:type="character" w:customStyle="1" w:styleId="TextodenotaderodapChar">
    <w:name w:val="Texto de nota de rodapé Char"/>
    <w:link w:val="Textodenotaderodap"/>
    <w:rsid w:val="00236995"/>
    <w:rPr>
      <w:lang w:eastAsia="zh-CN"/>
    </w:rPr>
  </w:style>
  <w:style w:type="character" w:customStyle="1" w:styleId="ng-binding">
    <w:name w:val="ng-binding"/>
    <w:rsid w:val="00236995"/>
  </w:style>
  <w:style w:type="numbering" w:customStyle="1" w:styleId="Semlista11">
    <w:name w:val="Sem lista11"/>
    <w:next w:val="Semlista"/>
    <w:uiPriority w:val="99"/>
    <w:semiHidden/>
    <w:rsid w:val="00236995"/>
  </w:style>
  <w:style w:type="table" w:customStyle="1" w:styleId="Tabelacomgrade11">
    <w:name w:val="Tabela com grade11"/>
    <w:basedOn w:val="Tabelanormal"/>
    <w:next w:val="Tabelacomgrade"/>
    <w:rsid w:val="002369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36995"/>
  </w:style>
  <w:style w:type="table" w:customStyle="1" w:styleId="Tabelacomgrade2">
    <w:name w:val="Tabela com grade2"/>
    <w:basedOn w:val="Tabelanormal"/>
    <w:next w:val="Tabelacomgrade"/>
    <w:uiPriority w:val="39"/>
    <w:rsid w:val="00D5318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802">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91985080">
      <w:bodyDiv w:val="1"/>
      <w:marLeft w:val="0"/>
      <w:marRight w:val="0"/>
      <w:marTop w:val="0"/>
      <w:marBottom w:val="0"/>
      <w:divBdr>
        <w:top w:val="none" w:sz="0" w:space="0" w:color="auto"/>
        <w:left w:val="none" w:sz="0" w:space="0" w:color="auto"/>
        <w:bottom w:val="none" w:sz="0" w:space="0" w:color="auto"/>
        <w:right w:val="none" w:sz="0" w:space="0" w:color="auto"/>
      </w:divBdr>
    </w:div>
    <w:div w:id="570890047">
      <w:bodyDiv w:val="1"/>
      <w:marLeft w:val="0"/>
      <w:marRight w:val="0"/>
      <w:marTop w:val="0"/>
      <w:marBottom w:val="0"/>
      <w:divBdr>
        <w:top w:val="none" w:sz="0" w:space="0" w:color="auto"/>
        <w:left w:val="none" w:sz="0" w:space="0" w:color="auto"/>
        <w:bottom w:val="none" w:sz="0" w:space="0" w:color="auto"/>
        <w:right w:val="none" w:sz="0" w:space="0" w:color="auto"/>
      </w:divBdr>
    </w:div>
    <w:div w:id="719787985">
      <w:bodyDiv w:val="1"/>
      <w:marLeft w:val="0"/>
      <w:marRight w:val="0"/>
      <w:marTop w:val="0"/>
      <w:marBottom w:val="0"/>
      <w:divBdr>
        <w:top w:val="none" w:sz="0" w:space="0" w:color="auto"/>
        <w:left w:val="none" w:sz="0" w:space="0" w:color="auto"/>
        <w:bottom w:val="none" w:sz="0" w:space="0" w:color="auto"/>
        <w:right w:val="none" w:sz="0" w:space="0" w:color="auto"/>
      </w:divBdr>
    </w:div>
    <w:div w:id="775902727">
      <w:bodyDiv w:val="1"/>
      <w:marLeft w:val="0"/>
      <w:marRight w:val="0"/>
      <w:marTop w:val="0"/>
      <w:marBottom w:val="0"/>
      <w:divBdr>
        <w:top w:val="none" w:sz="0" w:space="0" w:color="auto"/>
        <w:left w:val="none" w:sz="0" w:space="0" w:color="auto"/>
        <w:bottom w:val="none" w:sz="0" w:space="0" w:color="auto"/>
        <w:right w:val="none" w:sz="0" w:space="0" w:color="auto"/>
      </w:divBdr>
    </w:div>
    <w:div w:id="841243250">
      <w:bodyDiv w:val="1"/>
      <w:marLeft w:val="0"/>
      <w:marRight w:val="0"/>
      <w:marTop w:val="0"/>
      <w:marBottom w:val="0"/>
      <w:divBdr>
        <w:top w:val="none" w:sz="0" w:space="0" w:color="auto"/>
        <w:left w:val="none" w:sz="0" w:space="0" w:color="auto"/>
        <w:bottom w:val="none" w:sz="0" w:space="0" w:color="auto"/>
        <w:right w:val="none" w:sz="0" w:space="0" w:color="auto"/>
      </w:divBdr>
    </w:div>
    <w:div w:id="965618091">
      <w:bodyDiv w:val="1"/>
      <w:marLeft w:val="0"/>
      <w:marRight w:val="0"/>
      <w:marTop w:val="0"/>
      <w:marBottom w:val="0"/>
      <w:divBdr>
        <w:top w:val="none" w:sz="0" w:space="0" w:color="auto"/>
        <w:left w:val="none" w:sz="0" w:space="0" w:color="auto"/>
        <w:bottom w:val="none" w:sz="0" w:space="0" w:color="auto"/>
        <w:right w:val="none" w:sz="0" w:space="0" w:color="auto"/>
      </w:divBdr>
    </w:div>
    <w:div w:id="1209143168">
      <w:bodyDiv w:val="1"/>
      <w:marLeft w:val="0"/>
      <w:marRight w:val="0"/>
      <w:marTop w:val="0"/>
      <w:marBottom w:val="0"/>
      <w:divBdr>
        <w:top w:val="none" w:sz="0" w:space="0" w:color="auto"/>
        <w:left w:val="none" w:sz="0" w:space="0" w:color="auto"/>
        <w:bottom w:val="none" w:sz="0" w:space="0" w:color="auto"/>
        <w:right w:val="none" w:sz="0" w:space="0" w:color="auto"/>
      </w:divBdr>
    </w:div>
    <w:div w:id="1440635826">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764842362">
      <w:bodyDiv w:val="1"/>
      <w:marLeft w:val="0"/>
      <w:marRight w:val="0"/>
      <w:marTop w:val="0"/>
      <w:marBottom w:val="0"/>
      <w:divBdr>
        <w:top w:val="none" w:sz="0" w:space="0" w:color="auto"/>
        <w:left w:val="none" w:sz="0" w:space="0" w:color="auto"/>
        <w:bottom w:val="none" w:sz="0" w:space="0" w:color="auto"/>
        <w:right w:val="none" w:sz="0" w:space="0" w:color="auto"/>
      </w:divBdr>
    </w:div>
    <w:div w:id="1815445057">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2028672635">
      <w:bodyDiv w:val="1"/>
      <w:marLeft w:val="0"/>
      <w:marRight w:val="0"/>
      <w:marTop w:val="0"/>
      <w:marBottom w:val="0"/>
      <w:divBdr>
        <w:top w:val="none" w:sz="0" w:space="0" w:color="auto"/>
        <w:left w:val="none" w:sz="0" w:space="0" w:color="auto"/>
        <w:bottom w:val="none" w:sz="0" w:space="0" w:color="auto"/>
        <w:right w:val="none" w:sz="0" w:space="0" w:color="auto"/>
      </w:divBdr>
    </w:div>
    <w:div w:id="20335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4755-FA49-4103-ABC2-0B6FB49E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6</Pages>
  <Words>1970</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12585</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cp:keywords/>
  <dc:description/>
  <cp:lastModifiedBy>User</cp:lastModifiedBy>
  <cp:revision>82</cp:revision>
  <cp:lastPrinted>2025-08-28T17:32:00Z</cp:lastPrinted>
  <dcterms:created xsi:type="dcterms:W3CDTF">2024-12-11T12:22:00Z</dcterms:created>
  <dcterms:modified xsi:type="dcterms:W3CDTF">2026-05-14T19:00:00Z</dcterms:modified>
</cp:coreProperties>
</file>