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6550226F" w:rsidR="00946011" w:rsidRPr="00A3092C" w:rsidRDefault="0045094B" w:rsidP="00A3092C">
      <w:pPr>
        <w:tabs>
          <w:tab w:val="left" w:pos="288"/>
          <w:tab w:val="left" w:pos="1008"/>
          <w:tab w:val="left" w:pos="1728"/>
          <w:tab w:val="left" w:pos="2448"/>
          <w:tab w:val="left" w:pos="3168"/>
          <w:tab w:val="left" w:pos="3888"/>
          <w:tab w:val="left" w:pos="4608"/>
          <w:tab w:val="left" w:pos="5328"/>
          <w:tab w:val="left" w:pos="6048"/>
          <w:tab w:val="left" w:pos="6768"/>
        </w:tabs>
        <w:jc w:val="center"/>
        <w:rPr>
          <w:b/>
          <w:szCs w:val="22"/>
        </w:rPr>
      </w:pPr>
      <w:r w:rsidRPr="00A3092C">
        <w:rPr>
          <w:b/>
          <w:szCs w:val="22"/>
        </w:rPr>
        <w:t>TERMO DE REFERÊNCIA</w:t>
      </w:r>
    </w:p>
    <w:p w14:paraId="67AE34DE" w14:textId="77777777" w:rsidR="00170234" w:rsidRPr="00A3092C" w:rsidRDefault="00170234" w:rsidP="00A3092C">
      <w:pPr>
        <w:tabs>
          <w:tab w:val="left" w:pos="288"/>
          <w:tab w:val="left" w:pos="1008"/>
          <w:tab w:val="left" w:pos="1728"/>
          <w:tab w:val="left" w:pos="2448"/>
          <w:tab w:val="left" w:pos="3168"/>
          <w:tab w:val="left" w:pos="3888"/>
          <w:tab w:val="left" w:pos="4608"/>
          <w:tab w:val="left" w:pos="5328"/>
          <w:tab w:val="left" w:pos="6048"/>
          <w:tab w:val="left" w:pos="6768"/>
        </w:tabs>
        <w:jc w:val="center"/>
        <w:rPr>
          <w:szCs w:val="22"/>
        </w:rPr>
      </w:pPr>
    </w:p>
    <w:p w14:paraId="08EB98F2" w14:textId="06DB9F9D" w:rsidR="009103C4" w:rsidRPr="00A3092C" w:rsidRDefault="00D008B8"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A3092C">
        <w:rPr>
          <w:b/>
          <w:bCs/>
          <w:szCs w:val="22"/>
        </w:rPr>
        <w:t xml:space="preserve">PROCESSO ADMINISTRATIVO Nº </w:t>
      </w:r>
      <w:r w:rsidR="00BB625B">
        <w:rPr>
          <w:b/>
          <w:bCs/>
          <w:szCs w:val="22"/>
        </w:rPr>
        <w:t>27</w:t>
      </w:r>
      <w:r w:rsidR="00FF7377" w:rsidRPr="00A3092C">
        <w:rPr>
          <w:b/>
          <w:bCs/>
          <w:szCs w:val="22"/>
        </w:rPr>
        <w:t>/202</w:t>
      </w:r>
      <w:r w:rsidR="00FC6F23" w:rsidRPr="00A3092C">
        <w:rPr>
          <w:b/>
          <w:bCs/>
          <w:szCs w:val="22"/>
        </w:rPr>
        <w:t>5</w:t>
      </w:r>
    </w:p>
    <w:p w14:paraId="2B2DB0F0" w14:textId="2F38598F" w:rsidR="009103C4" w:rsidRPr="00A3092C" w:rsidRDefault="00357F2C"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A3092C">
        <w:rPr>
          <w:szCs w:val="22"/>
        </w:rPr>
        <w:t xml:space="preserve">Município de </w:t>
      </w:r>
      <w:r w:rsidR="00FF7377" w:rsidRPr="00A3092C">
        <w:rPr>
          <w:szCs w:val="22"/>
        </w:rPr>
        <w:t>Miraguaí</w:t>
      </w:r>
    </w:p>
    <w:p w14:paraId="2A972C3A" w14:textId="478E1D3A" w:rsidR="00357F2C" w:rsidRPr="00A3092C" w:rsidRDefault="00357F2C"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A3092C">
        <w:rPr>
          <w:szCs w:val="22"/>
        </w:rPr>
        <w:t>Secretaria Municipal de</w:t>
      </w:r>
      <w:r w:rsidR="009103C4" w:rsidRPr="00A3092C">
        <w:rPr>
          <w:szCs w:val="22"/>
        </w:rPr>
        <w:t xml:space="preserve"> </w:t>
      </w:r>
      <w:r w:rsidR="006F2139">
        <w:rPr>
          <w:szCs w:val="22"/>
        </w:rPr>
        <w:t>Administração</w:t>
      </w:r>
      <w:r w:rsidR="005241FD" w:rsidRPr="00A3092C">
        <w:rPr>
          <w:szCs w:val="22"/>
        </w:rPr>
        <w:t>.</w:t>
      </w:r>
    </w:p>
    <w:p w14:paraId="6C491F57" w14:textId="069B4B27" w:rsidR="004B0E9A" w:rsidRPr="00A3092C" w:rsidRDefault="00AF43CC" w:rsidP="00A3092C">
      <w:pPr>
        <w:jc w:val="both"/>
        <w:rPr>
          <w:b/>
          <w:bCs/>
          <w:szCs w:val="22"/>
          <w:u w:val="single"/>
        </w:rPr>
      </w:pPr>
      <w:r w:rsidRPr="00A3092C">
        <w:rPr>
          <w:szCs w:val="22"/>
        </w:rPr>
        <w:t xml:space="preserve">Necessidade da Administração: </w:t>
      </w:r>
      <w:r w:rsidR="006F2139" w:rsidRPr="006F2139">
        <w:rPr>
          <w:b/>
          <w:bCs/>
          <w:szCs w:val="22"/>
          <w:u w:val="single"/>
        </w:rPr>
        <w:t>CONTRATAÇÃO DE EMPRESA PARA PRESTAÇÃO DE SERVIÇO DE CONCESSÃO DA LICENÇA DE USO E A ATUALIZAÇÃO DE SOFTWARE AO MUNICIPIO DE MIRAGUAÍ/RS, COM O OBJETIVO DE PERMITIR QUE ENTIDADES CONVENIADAS E OS PRÓPRIOS ÓRGÃOS COMERCIAIS REALIZEM CONSIGNAÇÕES DE DESCONTOS E OUTRAS OPERAÇÕES EM FOLHA DE PAGAMENTO POR MEIO DA INTERNET</w:t>
      </w:r>
      <w:r w:rsidR="006F2139" w:rsidRPr="006F2139">
        <w:rPr>
          <w:b/>
          <w:szCs w:val="22"/>
          <w:u w:val="single"/>
        </w:rPr>
        <w:t>.</w:t>
      </w:r>
      <w:r w:rsidR="00EE6E3D">
        <w:rPr>
          <w:b/>
          <w:szCs w:val="22"/>
          <w:u w:val="single"/>
        </w:rPr>
        <w:t xml:space="preserve"> </w:t>
      </w:r>
    </w:p>
    <w:p w14:paraId="67B066A6" w14:textId="77777777" w:rsidR="00CB6315" w:rsidRPr="00A3092C" w:rsidRDefault="00CB6315" w:rsidP="00A3092C">
      <w:pPr>
        <w:jc w:val="both"/>
        <w:rPr>
          <w:b/>
          <w:bCs/>
          <w:color w:val="000000"/>
          <w:szCs w:val="22"/>
        </w:rPr>
      </w:pPr>
    </w:p>
    <w:p w14:paraId="553B0E4A" w14:textId="408E1BAE" w:rsidR="00E33A43"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1. DEFINIÇÃO DO OBJETO</w:t>
      </w:r>
      <w:r w:rsidR="00DE4434">
        <w:rPr>
          <w:rFonts w:ascii="Arial" w:hAnsi="Arial" w:cs="Arial"/>
          <w:b/>
          <w:bCs/>
          <w:color w:val="000000"/>
          <w:sz w:val="22"/>
          <w:szCs w:val="22"/>
        </w:rPr>
        <w:t xml:space="preserve"> E JUSTIFICATIVA </w:t>
      </w:r>
    </w:p>
    <w:p w14:paraId="1A115391" w14:textId="77777777" w:rsidR="00C546BA" w:rsidRPr="00A3092C" w:rsidRDefault="00C546BA" w:rsidP="00A3092C">
      <w:pPr>
        <w:pStyle w:val="NormalWeb"/>
        <w:spacing w:before="0" w:beforeAutospacing="0" w:after="0" w:afterAutospacing="0"/>
        <w:jc w:val="both"/>
        <w:rPr>
          <w:rFonts w:ascii="Arial" w:hAnsi="Arial" w:cs="Arial"/>
          <w:b/>
          <w:bCs/>
          <w:color w:val="000000"/>
          <w:sz w:val="22"/>
          <w:szCs w:val="22"/>
        </w:rPr>
      </w:pPr>
    </w:p>
    <w:p w14:paraId="0DAA2338" w14:textId="7FB23AD2" w:rsidR="00EE6E3D" w:rsidRDefault="004E4F74" w:rsidP="006F2139">
      <w:pPr>
        <w:ind w:firstLine="708"/>
        <w:jc w:val="both"/>
        <w:rPr>
          <w:bCs/>
          <w:color w:val="000000"/>
          <w:szCs w:val="22"/>
        </w:rPr>
      </w:pPr>
      <w:r w:rsidRPr="00A3092C">
        <w:rPr>
          <w:color w:val="000000"/>
          <w:szCs w:val="22"/>
        </w:rPr>
        <w:t xml:space="preserve">O </w:t>
      </w:r>
      <w:r w:rsidR="0074738C" w:rsidRPr="00A3092C">
        <w:rPr>
          <w:color w:val="000000"/>
          <w:szCs w:val="22"/>
        </w:rPr>
        <w:t xml:space="preserve">presente termo tem por objeto a contratação de empresa especializada em </w:t>
      </w:r>
      <w:bookmarkStart w:id="0" w:name="_Hlk194156055"/>
      <w:r w:rsidR="006F2139" w:rsidRPr="006F2139">
        <w:rPr>
          <w:color w:val="000000"/>
          <w:szCs w:val="22"/>
        </w:rPr>
        <w:t>PRESTAÇÃO DE SERVIÇO DE CONCESSÃO DA LICENÇA DE USO E A ATUALIZAÇÃO DE SOFTWARE AO MUNICIPIO DE MIRAGUAÍ/RS, COM O OBJETIVO DE PERMITIR QUE ENTIDADES CONVENIADAS E OS PRÓPRIOS ÓRGÃOS COMERCIAIS REALIZEM CONSIGNAÇÕES DE DESCONTOS E OUTRAS OPERAÇÕES EM FOLHA DE PAGAMENTO POR MEIO DA INTERNET</w:t>
      </w:r>
      <w:r w:rsidR="006F2139" w:rsidRPr="006F2139">
        <w:rPr>
          <w:bCs/>
          <w:color w:val="000000"/>
          <w:szCs w:val="22"/>
        </w:rPr>
        <w:t>.</w:t>
      </w:r>
      <w:bookmarkEnd w:id="0"/>
    </w:p>
    <w:p w14:paraId="7DD961B6" w14:textId="77777777" w:rsidR="00BA702C" w:rsidRDefault="00BA702C" w:rsidP="006F2139">
      <w:pPr>
        <w:ind w:firstLine="708"/>
        <w:jc w:val="both"/>
        <w:rPr>
          <w:color w:val="000000"/>
          <w:szCs w:val="22"/>
        </w:rPr>
      </w:pPr>
    </w:p>
    <w:p w14:paraId="235B253C" w14:textId="77777777" w:rsidR="006F2139" w:rsidRPr="006F2139" w:rsidRDefault="006F2139" w:rsidP="006F2139">
      <w:pPr>
        <w:jc w:val="both"/>
        <w:rPr>
          <w:color w:val="000000"/>
          <w:szCs w:val="22"/>
        </w:rPr>
      </w:pPr>
      <w:r w:rsidRPr="006F2139">
        <w:rPr>
          <w:b/>
          <w:bCs/>
          <w:color w:val="000000"/>
          <w:szCs w:val="22"/>
        </w:rPr>
        <w:t>1.1</w:t>
      </w:r>
      <w:r>
        <w:rPr>
          <w:color w:val="000000"/>
          <w:szCs w:val="22"/>
        </w:rPr>
        <w:t xml:space="preserve"> </w:t>
      </w:r>
      <w:r w:rsidRPr="006F2139">
        <w:rPr>
          <w:b/>
          <w:bCs/>
          <w:color w:val="000000"/>
          <w:szCs w:val="22"/>
        </w:rPr>
        <w:t xml:space="preserve">DA PRESTAÇÃO DO SERVIÇO: </w:t>
      </w:r>
      <w:r w:rsidRPr="006F2139">
        <w:rPr>
          <w:color w:val="000000"/>
          <w:szCs w:val="22"/>
        </w:rPr>
        <w:t xml:space="preserve">A prestação do serviço objeto do presente contrato deverá ocorrer imediatamente após a assinatura do contrato. </w:t>
      </w:r>
    </w:p>
    <w:p w14:paraId="1F03EB8E" w14:textId="77777777" w:rsidR="00BA702C" w:rsidRDefault="00BA702C" w:rsidP="006F2139">
      <w:pPr>
        <w:jc w:val="both"/>
        <w:rPr>
          <w:color w:val="000000"/>
          <w:szCs w:val="22"/>
        </w:rPr>
      </w:pPr>
    </w:p>
    <w:p w14:paraId="538CB8AD" w14:textId="7166F82F" w:rsidR="006F2139" w:rsidRPr="006F2139" w:rsidRDefault="00BA702C" w:rsidP="006F2139">
      <w:pPr>
        <w:jc w:val="both"/>
        <w:rPr>
          <w:b/>
          <w:bCs/>
          <w:color w:val="000000"/>
          <w:szCs w:val="22"/>
        </w:rPr>
      </w:pPr>
      <w:r w:rsidRPr="00936313">
        <w:rPr>
          <w:b/>
          <w:bCs/>
          <w:color w:val="000000"/>
          <w:szCs w:val="22"/>
        </w:rPr>
        <w:t>A</w:t>
      </w:r>
      <w:r w:rsidR="006F2139" w:rsidRPr="006F2139">
        <w:rPr>
          <w:b/>
          <w:bCs/>
          <w:color w:val="000000"/>
          <w:szCs w:val="22"/>
        </w:rPr>
        <w:t xml:space="preserve"> prestação do serviço</w:t>
      </w:r>
      <w:r w:rsidRPr="00936313">
        <w:rPr>
          <w:b/>
          <w:bCs/>
          <w:color w:val="000000"/>
          <w:szCs w:val="22"/>
        </w:rPr>
        <w:t xml:space="preserve"> deverá ser realizada a</w:t>
      </w:r>
      <w:r w:rsidR="006F2139" w:rsidRPr="006F2139">
        <w:rPr>
          <w:b/>
          <w:bCs/>
          <w:color w:val="000000"/>
          <w:szCs w:val="22"/>
        </w:rPr>
        <w:t xml:space="preserve">través dos </w:t>
      </w:r>
      <w:r w:rsidRPr="00936313">
        <w:rPr>
          <w:b/>
          <w:bCs/>
          <w:color w:val="000000"/>
          <w:szCs w:val="22"/>
        </w:rPr>
        <w:t xml:space="preserve">seguintes </w:t>
      </w:r>
      <w:r w:rsidR="006F2139" w:rsidRPr="006F2139">
        <w:rPr>
          <w:b/>
          <w:bCs/>
          <w:color w:val="000000"/>
          <w:szCs w:val="22"/>
        </w:rPr>
        <w:t xml:space="preserve">módulos: </w:t>
      </w:r>
    </w:p>
    <w:p w14:paraId="5895AC06" w14:textId="77777777" w:rsidR="006F2139" w:rsidRPr="006F2139" w:rsidRDefault="006F2139" w:rsidP="006F2139">
      <w:pPr>
        <w:jc w:val="both"/>
        <w:rPr>
          <w:color w:val="000000"/>
          <w:szCs w:val="22"/>
        </w:rPr>
      </w:pPr>
      <w:r w:rsidRPr="006F2139">
        <w:rPr>
          <w:color w:val="000000"/>
          <w:szCs w:val="22"/>
        </w:rPr>
        <w:t xml:space="preserve">• Módulo de Acesso ao Sistema </w:t>
      </w:r>
    </w:p>
    <w:p w14:paraId="00F54098" w14:textId="77777777" w:rsidR="006F2139" w:rsidRPr="006F2139" w:rsidRDefault="006F2139" w:rsidP="006F2139">
      <w:pPr>
        <w:jc w:val="both"/>
        <w:rPr>
          <w:color w:val="000000"/>
          <w:szCs w:val="22"/>
        </w:rPr>
      </w:pPr>
      <w:r w:rsidRPr="006F2139">
        <w:rPr>
          <w:color w:val="000000"/>
          <w:szCs w:val="22"/>
        </w:rPr>
        <w:t xml:space="preserve">• Módulo de Consultas </w:t>
      </w:r>
    </w:p>
    <w:p w14:paraId="5BBBB599" w14:textId="77777777" w:rsidR="006F2139" w:rsidRPr="006F2139" w:rsidRDefault="006F2139" w:rsidP="006F2139">
      <w:pPr>
        <w:jc w:val="both"/>
        <w:rPr>
          <w:color w:val="000000"/>
          <w:szCs w:val="22"/>
        </w:rPr>
      </w:pPr>
      <w:r w:rsidRPr="006F2139">
        <w:rPr>
          <w:color w:val="000000"/>
          <w:szCs w:val="22"/>
        </w:rPr>
        <w:t xml:space="preserve">• Módulo Operacional </w:t>
      </w:r>
    </w:p>
    <w:p w14:paraId="4B329922" w14:textId="77777777" w:rsidR="006F2139" w:rsidRPr="006F2139" w:rsidRDefault="006F2139" w:rsidP="006F2139">
      <w:pPr>
        <w:jc w:val="both"/>
        <w:rPr>
          <w:color w:val="000000"/>
          <w:szCs w:val="22"/>
        </w:rPr>
      </w:pPr>
      <w:r w:rsidRPr="006F2139">
        <w:rPr>
          <w:color w:val="000000"/>
          <w:szCs w:val="22"/>
        </w:rPr>
        <w:t xml:space="preserve">• Módulo Conferência </w:t>
      </w:r>
    </w:p>
    <w:p w14:paraId="6F297787" w14:textId="77777777" w:rsidR="006F2139" w:rsidRPr="006F2139" w:rsidRDefault="006F2139" w:rsidP="006F2139">
      <w:pPr>
        <w:jc w:val="both"/>
        <w:rPr>
          <w:color w:val="000000"/>
          <w:szCs w:val="22"/>
        </w:rPr>
      </w:pPr>
      <w:r w:rsidRPr="006F2139">
        <w:rPr>
          <w:color w:val="000000"/>
          <w:szCs w:val="22"/>
        </w:rPr>
        <w:t xml:space="preserve">• Módulo Relatório </w:t>
      </w:r>
    </w:p>
    <w:p w14:paraId="24DB6F81" w14:textId="77777777" w:rsidR="006F2139" w:rsidRPr="006F2139" w:rsidRDefault="006F2139" w:rsidP="006F2139">
      <w:pPr>
        <w:jc w:val="both"/>
        <w:rPr>
          <w:color w:val="000000"/>
          <w:szCs w:val="22"/>
        </w:rPr>
      </w:pPr>
      <w:r w:rsidRPr="006F2139">
        <w:rPr>
          <w:color w:val="000000"/>
          <w:szCs w:val="22"/>
        </w:rPr>
        <w:t xml:space="preserve">• Módulo Webservice * </w:t>
      </w:r>
    </w:p>
    <w:p w14:paraId="11516C47" w14:textId="77777777" w:rsidR="006F2139" w:rsidRPr="006F2139" w:rsidRDefault="006F2139" w:rsidP="006F2139">
      <w:pPr>
        <w:jc w:val="both"/>
        <w:rPr>
          <w:color w:val="000000"/>
          <w:szCs w:val="22"/>
        </w:rPr>
      </w:pPr>
      <w:r w:rsidRPr="006F2139">
        <w:rPr>
          <w:color w:val="000000"/>
          <w:szCs w:val="22"/>
        </w:rPr>
        <w:t xml:space="preserve">• Módulo CNAB * </w:t>
      </w:r>
    </w:p>
    <w:p w14:paraId="7BB38D0C" w14:textId="77777777" w:rsidR="006F2139" w:rsidRPr="006F2139" w:rsidRDefault="006F2139" w:rsidP="006F2139">
      <w:pPr>
        <w:jc w:val="both"/>
        <w:rPr>
          <w:color w:val="000000"/>
          <w:szCs w:val="22"/>
        </w:rPr>
      </w:pPr>
      <w:r w:rsidRPr="006F2139">
        <w:rPr>
          <w:color w:val="000000"/>
          <w:szCs w:val="22"/>
        </w:rPr>
        <w:t xml:space="preserve">• Módulo Mobile </w:t>
      </w:r>
    </w:p>
    <w:p w14:paraId="3236FA79" w14:textId="77777777" w:rsidR="006F2139" w:rsidRPr="006F2139" w:rsidRDefault="006F2139" w:rsidP="006F2139">
      <w:pPr>
        <w:jc w:val="both"/>
        <w:rPr>
          <w:color w:val="000000"/>
          <w:szCs w:val="22"/>
        </w:rPr>
      </w:pPr>
      <w:r w:rsidRPr="006F2139">
        <w:rPr>
          <w:color w:val="000000"/>
          <w:szCs w:val="22"/>
        </w:rPr>
        <w:t xml:space="preserve">• Módulo de Recuperação de dívida * </w:t>
      </w:r>
    </w:p>
    <w:p w14:paraId="0233CA34" w14:textId="77777777" w:rsidR="006F2139" w:rsidRPr="006F2139" w:rsidRDefault="006F2139" w:rsidP="006F2139">
      <w:pPr>
        <w:jc w:val="both"/>
        <w:rPr>
          <w:color w:val="000000"/>
          <w:szCs w:val="22"/>
        </w:rPr>
      </w:pPr>
      <w:r w:rsidRPr="006F2139">
        <w:rPr>
          <w:color w:val="000000"/>
          <w:szCs w:val="22"/>
        </w:rPr>
        <w:t xml:space="preserve">• Módulo de Atendimento </w:t>
      </w:r>
    </w:p>
    <w:p w14:paraId="17E0E2FE" w14:textId="77777777" w:rsidR="006F2139" w:rsidRPr="006F2139" w:rsidRDefault="006F2139" w:rsidP="006F2139">
      <w:pPr>
        <w:jc w:val="both"/>
        <w:rPr>
          <w:b/>
          <w:bCs/>
          <w:color w:val="000000"/>
          <w:szCs w:val="22"/>
        </w:rPr>
      </w:pPr>
      <w:r w:rsidRPr="006F2139">
        <w:rPr>
          <w:b/>
          <w:bCs/>
          <w:color w:val="000000"/>
          <w:szCs w:val="22"/>
        </w:rPr>
        <w:t xml:space="preserve">Detalhamento dos módulos. </w:t>
      </w:r>
    </w:p>
    <w:p w14:paraId="2970E34C" w14:textId="77777777" w:rsidR="006F2139" w:rsidRPr="006F2139" w:rsidRDefault="006F2139" w:rsidP="006F2139">
      <w:pPr>
        <w:jc w:val="both"/>
        <w:rPr>
          <w:color w:val="000000"/>
          <w:szCs w:val="22"/>
        </w:rPr>
      </w:pPr>
      <w:r w:rsidRPr="006F2139">
        <w:rPr>
          <w:color w:val="000000"/>
          <w:szCs w:val="22"/>
        </w:rPr>
        <w:t xml:space="preserve">Módulo de Acesso ao Sistema Descrição: </w:t>
      </w:r>
    </w:p>
    <w:p w14:paraId="6ACCADDA" w14:textId="77777777" w:rsidR="006F2139" w:rsidRPr="006F2139" w:rsidRDefault="006F2139" w:rsidP="006F2139">
      <w:pPr>
        <w:jc w:val="both"/>
        <w:rPr>
          <w:color w:val="000000"/>
          <w:szCs w:val="22"/>
        </w:rPr>
      </w:pPr>
      <w:r w:rsidRPr="006F2139">
        <w:rPr>
          <w:color w:val="000000"/>
          <w:szCs w:val="22"/>
        </w:rPr>
        <w:t xml:space="preserve">Módulo de identificação e controle de acesso ao sistema web e online utilizando de navegadores na internet. </w:t>
      </w:r>
    </w:p>
    <w:p w14:paraId="49367CD4" w14:textId="77777777" w:rsidR="006F2139" w:rsidRPr="006F2139" w:rsidRDefault="006F2139" w:rsidP="006F2139">
      <w:pPr>
        <w:jc w:val="both"/>
        <w:rPr>
          <w:color w:val="000000"/>
          <w:szCs w:val="22"/>
        </w:rPr>
      </w:pPr>
      <w:r w:rsidRPr="006F2139">
        <w:rPr>
          <w:color w:val="000000"/>
          <w:szCs w:val="22"/>
        </w:rPr>
        <w:t xml:space="preserve">• Login de acesso ao sistema </w:t>
      </w:r>
    </w:p>
    <w:p w14:paraId="4A5FBBF0" w14:textId="77777777" w:rsidR="006F2139" w:rsidRPr="006F2139" w:rsidRDefault="006F2139" w:rsidP="006F2139">
      <w:pPr>
        <w:jc w:val="both"/>
        <w:rPr>
          <w:color w:val="000000"/>
          <w:szCs w:val="22"/>
        </w:rPr>
      </w:pPr>
      <w:r w:rsidRPr="006F2139">
        <w:rPr>
          <w:color w:val="000000"/>
          <w:szCs w:val="22"/>
        </w:rPr>
        <w:t xml:space="preserve">• Pesquisa e Controle (cadastro, edição) de Usuários </w:t>
      </w:r>
    </w:p>
    <w:p w14:paraId="55B9C7BE" w14:textId="77777777" w:rsidR="006F2139" w:rsidRPr="006F2139" w:rsidRDefault="006F2139" w:rsidP="006F2139">
      <w:pPr>
        <w:jc w:val="both"/>
        <w:rPr>
          <w:color w:val="000000"/>
          <w:szCs w:val="22"/>
        </w:rPr>
      </w:pPr>
      <w:r w:rsidRPr="006F2139">
        <w:rPr>
          <w:color w:val="000000"/>
          <w:szCs w:val="22"/>
        </w:rPr>
        <w:t xml:space="preserve">• Pesquisa e Controle (cadastro, edição) de perfil e privilégios </w:t>
      </w:r>
    </w:p>
    <w:p w14:paraId="5330B0E5" w14:textId="77777777" w:rsidR="006F2139" w:rsidRPr="006F2139" w:rsidRDefault="006F2139" w:rsidP="006F2139">
      <w:pPr>
        <w:jc w:val="both"/>
        <w:rPr>
          <w:color w:val="000000"/>
          <w:szCs w:val="22"/>
        </w:rPr>
      </w:pPr>
      <w:r w:rsidRPr="006F2139">
        <w:rPr>
          <w:color w:val="000000"/>
          <w:szCs w:val="22"/>
        </w:rPr>
        <w:t xml:space="preserve">• Controle de acesso por IP Módulo de Consultas Descrição: </w:t>
      </w:r>
    </w:p>
    <w:p w14:paraId="0DFF181D" w14:textId="77777777" w:rsidR="006F2139" w:rsidRPr="006F2139" w:rsidRDefault="006F2139" w:rsidP="006F2139">
      <w:pPr>
        <w:jc w:val="both"/>
        <w:rPr>
          <w:color w:val="000000"/>
          <w:szCs w:val="22"/>
        </w:rPr>
      </w:pPr>
      <w:r w:rsidRPr="006F2139">
        <w:rPr>
          <w:color w:val="000000"/>
          <w:szCs w:val="22"/>
        </w:rPr>
        <w:t xml:space="preserve">Módulo que permite a consulta de margem e contratos </w:t>
      </w:r>
    </w:p>
    <w:p w14:paraId="0E4CB8A0" w14:textId="77777777" w:rsidR="006F2139" w:rsidRPr="006F2139" w:rsidRDefault="006F2139" w:rsidP="006F2139">
      <w:pPr>
        <w:jc w:val="both"/>
        <w:rPr>
          <w:color w:val="000000"/>
          <w:szCs w:val="22"/>
        </w:rPr>
      </w:pPr>
      <w:r w:rsidRPr="006F2139">
        <w:rPr>
          <w:color w:val="000000"/>
          <w:szCs w:val="22"/>
        </w:rPr>
        <w:t xml:space="preserve">• Consulta de Margem disponível </w:t>
      </w:r>
    </w:p>
    <w:p w14:paraId="30538C6C" w14:textId="77777777" w:rsidR="006F2139" w:rsidRPr="006F2139" w:rsidRDefault="006F2139" w:rsidP="006F2139">
      <w:pPr>
        <w:jc w:val="both"/>
        <w:rPr>
          <w:color w:val="000000"/>
          <w:szCs w:val="22"/>
        </w:rPr>
      </w:pPr>
      <w:r w:rsidRPr="006F2139">
        <w:rPr>
          <w:color w:val="000000"/>
          <w:szCs w:val="22"/>
        </w:rPr>
        <w:t xml:space="preserve">• Consulta no Gerenciador de Contratos Módulo Operacional Descrição: </w:t>
      </w:r>
    </w:p>
    <w:p w14:paraId="103ECADA" w14:textId="77777777" w:rsidR="006F2139" w:rsidRPr="006F2139" w:rsidRDefault="006F2139" w:rsidP="006F2139">
      <w:pPr>
        <w:jc w:val="both"/>
        <w:rPr>
          <w:color w:val="000000"/>
          <w:szCs w:val="22"/>
        </w:rPr>
      </w:pPr>
      <w:r w:rsidRPr="006F2139">
        <w:rPr>
          <w:color w:val="000000"/>
          <w:szCs w:val="22"/>
        </w:rPr>
        <w:t xml:space="preserve">Módulo que permite realização de todas as operações para manutenção e novos consignados utilizando navegadores na internet </w:t>
      </w:r>
    </w:p>
    <w:p w14:paraId="53F8C8D6" w14:textId="77777777" w:rsidR="006F2139" w:rsidRPr="006F2139" w:rsidRDefault="006F2139" w:rsidP="006F2139">
      <w:pPr>
        <w:jc w:val="both"/>
        <w:rPr>
          <w:color w:val="000000"/>
          <w:szCs w:val="22"/>
        </w:rPr>
      </w:pPr>
      <w:r w:rsidRPr="006F2139">
        <w:rPr>
          <w:color w:val="000000"/>
          <w:szCs w:val="22"/>
        </w:rPr>
        <w:lastRenderedPageBreak/>
        <w:t xml:space="preserve">• Lançamento de Reservas de consignados </w:t>
      </w:r>
    </w:p>
    <w:p w14:paraId="0A3DAA10" w14:textId="77777777" w:rsidR="006F2139" w:rsidRPr="006F2139" w:rsidRDefault="006F2139" w:rsidP="006F2139">
      <w:pPr>
        <w:jc w:val="both"/>
        <w:rPr>
          <w:color w:val="000000"/>
          <w:szCs w:val="22"/>
        </w:rPr>
      </w:pPr>
      <w:r w:rsidRPr="006F2139">
        <w:rPr>
          <w:color w:val="000000"/>
          <w:szCs w:val="22"/>
        </w:rPr>
        <w:t xml:space="preserve">• Lançamento de Reservas de Refinanciamentos de consignados </w:t>
      </w:r>
    </w:p>
    <w:p w14:paraId="03C9D352" w14:textId="7AB1E600" w:rsidR="00EE6E3D" w:rsidRPr="00EE6E3D" w:rsidRDefault="006F2139" w:rsidP="006F2139">
      <w:pPr>
        <w:jc w:val="both"/>
        <w:rPr>
          <w:color w:val="000000"/>
          <w:szCs w:val="22"/>
        </w:rPr>
      </w:pPr>
      <w:r w:rsidRPr="006F2139">
        <w:rPr>
          <w:color w:val="000000"/>
          <w:szCs w:val="22"/>
        </w:rPr>
        <w:t>• Lançamento de Consignação Uso exclusivo Proibido sua divulgação a terceiros.</w:t>
      </w:r>
    </w:p>
    <w:p w14:paraId="08BEA3A7" w14:textId="77777777" w:rsidR="00936313" w:rsidRDefault="00936313" w:rsidP="00DF6BD3">
      <w:pPr>
        <w:ind w:firstLine="708"/>
        <w:jc w:val="both"/>
        <w:rPr>
          <w:color w:val="000000"/>
          <w:szCs w:val="22"/>
        </w:rPr>
      </w:pPr>
    </w:p>
    <w:p w14:paraId="343CCA36" w14:textId="77777777" w:rsidR="00936313" w:rsidRPr="00936313" w:rsidRDefault="00936313" w:rsidP="00936313">
      <w:pPr>
        <w:jc w:val="both"/>
        <w:rPr>
          <w:color w:val="000000"/>
          <w:szCs w:val="22"/>
        </w:rPr>
      </w:pPr>
      <w:r w:rsidRPr="00936313">
        <w:rPr>
          <w:color w:val="000000"/>
          <w:szCs w:val="22"/>
        </w:rPr>
        <w:t xml:space="preserve">TODOS OS DIREITOS RESERVADOS </w:t>
      </w:r>
    </w:p>
    <w:p w14:paraId="1B265316" w14:textId="77777777" w:rsidR="00936313" w:rsidRPr="00936313" w:rsidRDefault="00936313" w:rsidP="00936313">
      <w:pPr>
        <w:jc w:val="both"/>
        <w:rPr>
          <w:color w:val="000000"/>
          <w:szCs w:val="22"/>
        </w:rPr>
      </w:pPr>
      <w:r w:rsidRPr="00936313">
        <w:rPr>
          <w:color w:val="000000"/>
          <w:szCs w:val="22"/>
        </w:rPr>
        <w:t xml:space="preserve">• Lançamento de Refinanciamento </w:t>
      </w:r>
    </w:p>
    <w:p w14:paraId="284E21D3" w14:textId="77777777" w:rsidR="00936313" w:rsidRPr="00936313" w:rsidRDefault="00936313" w:rsidP="00936313">
      <w:pPr>
        <w:jc w:val="both"/>
        <w:rPr>
          <w:color w:val="000000"/>
          <w:szCs w:val="22"/>
        </w:rPr>
      </w:pPr>
      <w:r w:rsidRPr="00936313">
        <w:rPr>
          <w:color w:val="000000"/>
          <w:szCs w:val="22"/>
        </w:rPr>
        <w:t xml:space="preserve">• Lançamento de Portabilidade </w:t>
      </w:r>
    </w:p>
    <w:p w14:paraId="58746348" w14:textId="77777777" w:rsidR="00936313" w:rsidRPr="00936313" w:rsidRDefault="00936313" w:rsidP="00936313">
      <w:pPr>
        <w:jc w:val="both"/>
        <w:rPr>
          <w:color w:val="000000"/>
          <w:szCs w:val="22"/>
        </w:rPr>
      </w:pPr>
      <w:r w:rsidRPr="00936313">
        <w:rPr>
          <w:color w:val="000000"/>
          <w:szCs w:val="22"/>
        </w:rPr>
        <w:t xml:space="preserve">• Confirmação de operações de reservas de consignações </w:t>
      </w:r>
    </w:p>
    <w:p w14:paraId="0411B3E0" w14:textId="77777777" w:rsidR="00936313" w:rsidRPr="00936313" w:rsidRDefault="00936313" w:rsidP="00936313">
      <w:pPr>
        <w:jc w:val="both"/>
        <w:rPr>
          <w:color w:val="000000"/>
          <w:szCs w:val="22"/>
        </w:rPr>
      </w:pPr>
      <w:r w:rsidRPr="00936313">
        <w:rPr>
          <w:color w:val="000000"/>
          <w:szCs w:val="22"/>
        </w:rPr>
        <w:t xml:space="preserve">• Cancelar reservas de consignações </w:t>
      </w:r>
    </w:p>
    <w:p w14:paraId="362E4F60" w14:textId="77777777" w:rsidR="00936313" w:rsidRPr="00936313" w:rsidRDefault="00936313" w:rsidP="00936313">
      <w:pPr>
        <w:jc w:val="both"/>
        <w:rPr>
          <w:color w:val="000000"/>
          <w:szCs w:val="22"/>
        </w:rPr>
      </w:pPr>
      <w:r w:rsidRPr="00936313">
        <w:rPr>
          <w:color w:val="000000"/>
          <w:szCs w:val="22"/>
        </w:rPr>
        <w:t xml:space="preserve">• Quitar consignações </w:t>
      </w:r>
    </w:p>
    <w:p w14:paraId="29A7D5CA" w14:textId="77777777" w:rsidR="00936313" w:rsidRPr="00936313" w:rsidRDefault="00936313" w:rsidP="00936313">
      <w:pPr>
        <w:jc w:val="both"/>
        <w:rPr>
          <w:color w:val="000000"/>
          <w:szCs w:val="22"/>
        </w:rPr>
      </w:pPr>
      <w:r w:rsidRPr="00936313">
        <w:rPr>
          <w:color w:val="000000"/>
          <w:szCs w:val="22"/>
        </w:rPr>
        <w:t xml:space="preserve">• Aceitar ou recusar portabilidade Módulo Conferência Descrição: </w:t>
      </w:r>
    </w:p>
    <w:p w14:paraId="26C17DE7" w14:textId="77777777" w:rsidR="00936313" w:rsidRPr="00936313" w:rsidRDefault="00936313" w:rsidP="00936313">
      <w:pPr>
        <w:jc w:val="both"/>
        <w:rPr>
          <w:color w:val="000000"/>
          <w:szCs w:val="22"/>
        </w:rPr>
      </w:pPr>
      <w:r w:rsidRPr="00936313">
        <w:rPr>
          <w:color w:val="000000"/>
          <w:szCs w:val="22"/>
        </w:rPr>
        <w:t xml:space="preserve">Módulo que permite a conciliação de expectativa mensal e o que realmente foi descontado </w:t>
      </w:r>
    </w:p>
    <w:p w14:paraId="6807C063" w14:textId="77777777" w:rsidR="00936313" w:rsidRPr="00936313" w:rsidRDefault="00936313" w:rsidP="00936313">
      <w:pPr>
        <w:jc w:val="both"/>
        <w:rPr>
          <w:color w:val="000000"/>
          <w:szCs w:val="22"/>
        </w:rPr>
      </w:pPr>
      <w:r w:rsidRPr="00936313">
        <w:rPr>
          <w:color w:val="000000"/>
          <w:szCs w:val="22"/>
        </w:rPr>
        <w:t xml:space="preserve">• Conciliação Magnética </w:t>
      </w:r>
    </w:p>
    <w:p w14:paraId="0C6C7C05" w14:textId="77777777" w:rsidR="00936313" w:rsidRPr="00936313" w:rsidRDefault="00936313" w:rsidP="00936313">
      <w:pPr>
        <w:jc w:val="both"/>
        <w:rPr>
          <w:color w:val="000000"/>
          <w:szCs w:val="22"/>
        </w:rPr>
      </w:pPr>
      <w:r w:rsidRPr="00936313">
        <w:rPr>
          <w:color w:val="000000"/>
          <w:szCs w:val="22"/>
        </w:rPr>
        <w:t xml:space="preserve">• Conferência via SFTP Módulo Relatório Descrição: </w:t>
      </w:r>
    </w:p>
    <w:p w14:paraId="38DE8E6E" w14:textId="77777777" w:rsidR="00936313" w:rsidRPr="00936313" w:rsidRDefault="00936313" w:rsidP="00936313">
      <w:pPr>
        <w:jc w:val="both"/>
        <w:rPr>
          <w:color w:val="000000"/>
          <w:szCs w:val="22"/>
        </w:rPr>
      </w:pPr>
      <w:r w:rsidRPr="00936313">
        <w:rPr>
          <w:color w:val="000000"/>
          <w:szCs w:val="22"/>
        </w:rPr>
        <w:t xml:space="preserve">Módulo de relatórios </w:t>
      </w:r>
    </w:p>
    <w:p w14:paraId="4BC3BA77" w14:textId="61BEDB60" w:rsidR="00936313" w:rsidRDefault="00936313" w:rsidP="00936313">
      <w:pPr>
        <w:jc w:val="both"/>
        <w:rPr>
          <w:color w:val="000000"/>
          <w:szCs w:val="22"/>
        </w:rPr>
      </w:pPr>
      <w:r w:rsidRPr="00936313">
        <w:rPr>
          <w:color w:val="000000"/>
          <w:szCs w:val="22"/>
        </w:rPr>
        <w:t>• Impressão de comprovante da consignação</w:t>
      </w:r>
      <w:r>
        <w:rPr>
          <w:color w:val="000000"/>
          <w:szCs w:val="22"/>
        </w:rPr>
        <w:t>.</w:t>
      </w:r>
    </w:p>
    <w:p w14:paraId="795CB7C2" w14:textId="77777777" w:rsidR="00936313" w:rsidRPr="00936313" w:rsidRDefault="00936313" w:rsidP="00936313">
      <w:pPr>
        <w:jc w:val="both"/>
        <w:rPr>
          <w:color w:val="000000"/>
          <w:szCs w:val="22"/>
        </w:rPr>
      </w:pPr>
      <w:r w:rsidRPr="00936313">
        <w:rPr>
          <w:color w:val="000000"/>
          <w:szCs w:val="22"/>
        </w:rPr>
        <w:t xml:space="preserve">Relatório de Mensal de Consignações </w:t>
      </w:r>
    </w:p>
    <w:p w14:paraId="75027B78" w14:textId="77777777" w:rsidR="00936313" w:rsidRPr="00936313" w:rsidRDefault="00936313" w:rsidP="00936313">
      <w:pPr>
        <w:jc w:val="both"/>
        <w:rPr>
          <w:color w:val="000000"/>
          <w:szCs w:val="22"/>
        </w:rPr>
      </w:pPr>
      <w:r w:rsidRPr="00936313">
        <w:rPr>
          <w:color w:val="000000"/>
          <w:szCs w:val="22"/>
        </w:rPr>
        <w:t xml:space="preserve">• Relatório Individual de Consignações </w:t>
      </w:r>
    </w:p>
    <w:p w14:paraId="7B479D4E" w14:textId="77777777" w:rsidR="00936313" w:rsidRPr="00936313" w:rsidRDefault="00936313" w:rsidP="00936313">
      <w:pPr>
        <w:jc w:val="both"/>
        <w:rPr>
          <w:color w:val="000000"/>
          <w:szCs w:val="22"/>
        </w:rPr>
      </w:pPr>
      <w:r w:rsidRPr="00936313">
        <w:rPr>
          <w:color w:val="000000"/>
          <w:szCs w:val="22"/>
        </w:rPr>
        <w:t xml:space="preserve">• Relatório de Auditoria novos contratos </w:t>
      </w:r>
    </w:p>
    <w:p w14:paraId="056ABD24" w14:textId="77777777" w:rsidR="00936313" w:rsidRPr="00936313" w:rsidRDefault="00936313" w:rsidP="00936313">
      <w:pPr>
        <w:jc w:val="both"/>
        <w:rPr>
          <w:color w:val="000000"/>
          <w:szCs w:val="22"/>
        </w:rPr>
      </w:pPr>
      <w:r w:rsidRPr="00936313">
        <w:rPr>
          <w:color w:val="000000"/>
          <w:szCs w:val="22"/>
        </w:rPr>
        <w:t xml:space="preserve">• Relatório de Auditoria baixa de contratos </w:t>
      </w:r>
    </w:p>
    <w:p w14:paraId="6AE6AEAB" w14:textId="77777777" w:rsidR="00936313" w:rsidRPr="00936313" w:rsidRDefault="00936313" w:rsidP="00936313">
      <w:pPr>
        <w:jc w:val="both"/>
        <w:rPr>
          <w:color w:val="000000"/>
          <w:szCs w:val="22"/>
        </w:rPr>
      </w:pPr>
      <w:r w:rsidRPr="00936313">
        <w:rPr>
          <w:color w:val="000000"/>
          <w:szCs w:val="22"/>
        </w:rPr>
        <w:t xml:space="preserve">• Gerador de relatórios Módulo Webservice Descrição: </w:t>
      </w:r>
    </w:p>
    <w:p w14:paraId="2EC7D6D9" w14:textId="77777777" w:rsidR="00936313" w:rsidRPr="00936313" w:rsidRDefault="00936313" w:rsidP="00936313">
      <w:pPr>
        <w:jc w:val="both"/>
        <w:rPr>
          <w:color w:val="000000"/>
          <w:szCs w:val="22"/>
        </w:rPr>
      </w:pPr>
      <w:r w:rsidRPr="00936313">
        <w:rPr>
          <w:color w:val="000000"/>
          <w:szCs w:val="22"/>
        </w:rPr>
        <w:t xml:space="preserve">Módulo especial de integração via serviço de APi, permitindo realizar as operações integradas com outros sistemas. </w:t>
      </w:r>
    </w:p>
    <w:p w14:paraId="438A1F12" w14:textId="77777777" w:rsidR="00936313" w:rsidRPr="00936313" w:rsidRDefault="00936313" w:rsidP="00936313">
      <w:pPr>
        <w:jc w:val="both"/>
        <w:rPr>
          <w:color w:val="000000"/>
          <w:szCs w:val="22"/>
        </w:rPr>
      </w:pPr>
      <w:r w:rsidRPr="00936313">
        <w:rPr>
          <w:color w:val="000000"/>
          <w:szCs w:val="22"/>
        </w:rPr>
        <w:t xml:space="preserve">• Login via serviço via SOAP/REST </w:t>
      </w:r>
    </w:p>
    <w:p w14:paraId="24D6C005" w14:textId="77777777" w:rsidR="00936313" w:rsidRPr="00936313" w:rsidRDefault="00936313" w:rsidP="00936313">
      <w:pPr>
        <w:jc w:val="both"/>
        <w:rPr>
          <w:color w:val="000000"/>
          <w:szCs w:val="22"/>
        </w:rPr>
      </w:pPr>
      <w:r w:rsidRPr="00936313">
        <w:rPr>
          <w:color w:val="000000"/>
          <w:szCs w:val="22"/>
        </w:rPr>
        <w:t xml:space="preserve">• Consultas de Contratos via SOAP/REST </w:t>
      </w:r>
    </w:p>
    <w:p w14:paraId="5D91486C" w14:textId="77777777" w:rsidR="00936313" w:rsidRPr="00936313" w:rsidRDefault="00936313" w:rsidP="00936313">
      <w:pPr>
        <w:jc w:val="both"/>
        <w:rPr>
          <w:color w:val="000000"/>
          <w:szCs w:val="22"/>
        </w:rPr>
      </w:pPr>
      <w:r w:rsidRPr="00936313">
        <w:rPr>
          <w:color w:val="000000"/>
          <w:szCs w:val="22"/>
        </w:rPr>
        <w:t xml:space="preserve">• Relatório de Auditoria via SOAP/REST </w:t>
      </w:r>
    </w:p>
    <w:p w14:paraId="29943173" w14:textId="77777777" w:rsidR="00936313" w:rsidRPr="00936313" w:rsidRDefault="00936313" w:rsidP="00936313">
      <w:pPr>
        <w:jc w:val="both"/>
        <w:rPr>
          <w:color w:val="000000"/>
          <w:szCs w:val="22"/>
        </w:rPr>
      </w:pPr>
      <w:r w:rsidRPr="00936313">
        <w:rPr>
          <w:color w:val="000000"/>
          <w:szCs w:val="22"/>
        </w:rPr>
        <w:t xml:space="preserve">• Relatório Mensal de Consignação via SOAP/REST </w:t>
      </w:r>
    </w:p>
    <w:p w14:paraId="3539D6EE" w14:textId="77777777" w:rsidR="00936313" w:rsidRPr="00936313" w:rsidRDefault="00936313" w:rsidP="00936313">
      <w:pPr>
        <w:jc w:val="both"/>
        <w:rPr>
          <w:color w:val="000000"/>
          <w:szCs w:val="22"/>
        </w:rPr>
      </w:pPr>
      <w:r w:rsidRPr="00936313">
        <w:rPr>
          <w:color w:val="000000"/>
          <w:szCs w:val="22"/>
        </w:rPr>
        <w:t xml:space="preserve">• Lançamento de Reservas de consignados via SOAP/REST </w:t>
      </w:r>
    </w:p>
    <w:p w14:paraId="06F72D40" w14:textId="77777777" w:rsidR="00936313" w:rsidRPr="00936313" w:rsidRDefault="00936313" w:rsidP="00936313">
      <w:pPr>
        <w:jc w:val="both"/>
        <w:rPr>
          <w:color w:val="000000"/>
          <w:szCs w:val="22"/>
        </w:rPr>
      </w:pPr>
      <w:r w:rsidRPr="00936313">
        <w:rPr>
          <w:color w:val="000000"/>
          <w:szCs w:val="22"/>
        </w:rPr>
        <w:t xml:space="preserve">• Lançamento de Reservas de Refinanciamentos via SOAP/REST </w:t>
      </w:r>
    </w:p>
    <w:p w14:paraId="538F99FC" w14:textId="77777777" w:rsidR="00936313" w:rsidRPr="00936313" w:rsidRDefault="00936313" w:rsidP="00936313">
      <w:pPr>
        <w:jc w:val="both"/>
        <w:rPr>
          <w:color w:val="000000"/>
          <w:szCs w:val="22"/>
        </w:rPr>
      </w:pPr>
      <w:r w:rsidRPr="00936313">
        <w:rPr>
          <w:color w:val="000000"/>
          <w:szCs w:val="22"/>
        </w:rPr>
        <w:t xml:space="preserve">• Lançamento de Consignação via SOAP/REST </w:t>
      </w:r>
    </w:p>
    <w:p w14:paraId="4713390E" w14:textId="77777777" w:rsidR="00936313" w:rsidRPr="00936313" w:rsidRDefault="00936313" w:rsidP="00936313">
      <w:pPr>
        <w:jc w:val="both"/>
        <w:rPr>
          <w:color w:val="000000"/>
          <w:szCs w:val="22"/>
        </w:rPr>
      </w:pPr>
      <w:r w:rsidRPr="00936313">
        <w:rPr>
          <w:color w:val="000000"/>
          <w:szCs w:val="22"/>
        </w:rPr>
        <w:t xml:space="preserve">• Lançamento de Refinanciamento via SOAP/REST </w:t>
      </w:r>
    </w:p>
    <w:p w14:paraId="4780A620" w14:textId="77777777" w:rsidR="00936313" w:rsidRPr="00936313" w:rsidRDefault="00936313" w:rsidP="00936313">
      <w:pPr>
        <w:jc w:val="both"/>
        <w:rPr>
          <w:color w:val="000000"/>
          <w:szCs w:val="22"/>
        </w:rPr>
      </w:pPr>
      <w:r w:rsidRPr="00936313">
        <w:rPr>
          <w:color w:val="000000"/>
          <w:szCs w:val="22"/>
        </w:rPr>
        <w:t xml:space="preserve">• Lançamento de Portabilidade via SOAP/REST </w:t>
      </w:r>
    </w:p>
    <w:p w14:paraId="2D7203E0" w14:textId="77777777" w:rsidR="00936313" w:rsidRPr="00936313" w:rsidRDefault="00936313" w:rsidP="00936313">
      <w:pPr>
        <w:jc w:val="both"/>
        <w:rPr>
          <w:color w:val="000000"/>
          <w:szCs w:val="22"/>
        </w:rPr>
      </w:pPr>
      <w:r w:rsidRPr="00936313">
        <w:rPr>
          <w:color w:val="000000"/>
          <w:szCs w:val="22"/>
        </w:rPr>
        <w:t xml:space="preserve">• Confirmação de operações de reservas de consignações via SOAP/REST </w:t>
      </w:r>
    </w:p>
    <w:p w14:paraId="0A0B7195" w14:textId="77777777" w:rsidR="00936313" w:rsidRPr="00936313" w:rsidRDefault="00936313" w:rsidP="00936313">
      <w:pPr>
        <w:jc w:val="both"/>
        <w:rPr>
          <w:color w:val="000000"/>
          <w:szCs w:val="22"/>
        </w:rPr>
      </w:pPr>
      <w:r w:rsidRPr="00936313">
        <w:rPr>
          <w:color w:val="000000"/>
          <w:szCs w:val="22"/>
        </w:rPr>
        <w:t xml:space="preserve">• Cancelar reservas de consignações via SOAP/REST </w:t>
      </w:r>
    </w:p>
    <w:p w14:paraId="7411265C" w14:textId="77777777" w:rsidR="00936313" w:rsidRPr="00936313" w:rsidRDefault="00936313" w:rsidP="00936313">
      <w:pPr>
        <w:jc w:val="both"/>
        <w:rPr>
          <w:color w:val="000000"/>
          <w:szCs w:val="22"/>
        </w:rPr>
      </w:pPr>
      <w:r w:rsidRPr="00936313">
        <w:rPr>
          <w:color w:val="000000"/>
          <w:szCs w:val="22"/>
        </w:rPr>
        <w:t xml:space="preserve">• Quitar consignações via SOAP/REST </w:t>
      </w:r>
    </w:p>
    <w:p w14:paraId="50F99154" w14:textId="77777777" w:rsidR="00936313" w:rsidRPr="00936313" w:rsidRDefault="00936313" w:rsidP="00936313">
      <w:pPr>
        <w:jc w:val="both"/>
        <w:rPr>
          <w:color w:val="000000"/>
          <w:szCs w:val="22"/>
        </w:rPr>
      </w:pPr>
      <w:r w:rsidRPr="00936313">
        <w:rPr>
          <w:color w:val="000000"/>
          <w:szCs w:val="22"/>
        </w:rPr>
        <w:t xml:space="preserve">• Aceitar ou recusar portabilidade via SOAP/REST </w:t>
      </w:r>
    </w:p>
    <w:p w14:paraId="114931BD" w14:textId="77777777" w:rsidR="00936313" w:rsidRPr="00936313" w:rsidRDefault="00936313" w:rsidP="00936313">
      <w:pPr>
        <w:jc w:val="both"/>
        <w:rPr>
          <w:color w:val="000000"/>
          <w:szCs w:val="22"/>
        </w:rPr>
      </w:pPr>
      <w:r w:rsidRPr="00936313">
        <w:rPr>
          <w:color w:val="000000"/>
          <w:szCs w:val="22"/>
        </w:rPr>
        <w:t xml:space="preserve">• Controle e Monitoramento de performance </w:t>
      </w:r>
    </w:p>
    <w:p w14:paraId="3B9E4A96" w14:textId="77777777" w:rsidR="00936313" w:rsidRPr="00936313" w:rsidRDefault="00936313" w:rsidP="00936313">
      <w:pPr>
        <w:jc w:val="both"/>
        <w:rPr>
          <w:color w:val="000000"/>
          <w:szCs w:val="22"/>
        </w:rPr>
      </w:pPr>
      <w:r w:rsidRPr="00936313">
        <w:rPr>
          <w:color w:val="000000"/>
          <w:szCs w:val="22"/>
        </w:rPr>
        <w:t xml:space="preserve">TODOS OS DIREITOS RESERVADOS </w:t>
      </w:r>
    </w:p>
    <w:p w14:paraId="42A01D88" w14:textId="77777777" w:rsidR="00936313" w:rsidRPr="00936313" w:rsidRDefault="00936313" w:rsidP="00936313">
      <w:pPr>
        <w:jc w:val="both"/>
        <w:rPr>
          <w:color w:val="000000"/>
          <w:szCs w:val="22"/>
        </w:rPr>
      </w:pPr>
      <w:r w:rsidRPr="00936313">
        <w:rPr>
          <w:color w:val="000000"/>
          <w:szCs w:val="22"/>
        </w:rPr>
        <w:t xml:space="preserve">Módulo CNAB Descrição: </w:t>
      </w:r>
    </w:p>
    <w:p w14:paraId="1399B75C" w14:textId="77777777" w:rsidR="00936313" w:rsidRPr="00936313" w:rsidRDefault="00936313" w:rsidP="00936313">
      <w:pPr>
        <w:jc w:val="both"/>
        <w:rPr>
          <w:color w:val="000000"/>
          <w:szCs w:val="22"/>
        </w:rPr>
      </w:pPr>
      <w:r w:rsidRPr="00936313">
        <w:rPr>
          <w:color w:val="000000"/>
          <w:szCs w:val="22"/>
        </w:rPr>
        <w:t xml:space="preserve">Módulo especial de integração arquivo CNAB, permitindo realizar as operações integradas com outros sistemas. </w:t>
      </w:r>
    </w:p>
    <w:p w14:paraId="0A5E5E94" w14:textId="0B1C0CCE" w:rsidR="00936313" w:rsidRDefault="00936313" w:rsidP="00936313">
      <w:pPr>
        <w:jc w:val="both"/>
        <w:rPr>
          <w:color w:val="000000"/>
          <w:szCs w:val="22"/>
        </w:rPr>
      </w:pPr>
      <w:r w:rsidRPr="00936313">
        <w:rPr>
          <w:color w:val="000000"/>
          <w:szCs w:val="22"/>
        </w:rPr>
        <w:t>• Login via serviço via CNAB</w:t>
      </w:r>
    </w:p>
    <w:p w14:paraId="6CE225BB" w14:textId="77777777" w:rsidR="00936313" w:rsidRPr="00936313" w:rsidRDefault="00936313" w:rsidP="00936313">
      <w:pPr>
        <w:jc w:val="both"/>
        <w:rPr>
          <w:color w:val="000000"/>
          <w:szCs w:val="22"/>
        </w:rPr>
      </w:pPr>
      <w:r w:rsidRPr="00936313">
        <w:rPr>
          <w:color w:val="000000"/>
          <w:szCs w:val="22"/>
        </w:rPr>
        <w:t xml:space="preserve">• Relatório Mensal de Consignação via CNAB </w:t>
      </w:r>
    </w:p>
    <w:p w14:paraId="3ACE60F5" w14:textId="77777777" w:rsidR="00936313" w:rsidRPr="00936313" w:rsidRDefault="00936313" w:rsidP="00936313">
      <w:pPr>
        <w:jc w:val="both"/>
        <w:rPr>
          <w:color w:val="000000"/>
          <w:szCs w:val="22"/>
        </w:rPr>
      </w:pPr>
      <w:r w:rsidRPr="00936313">
        <w:rPr>
          <w:color w:val="000000"/>
          <w:szCs w:val="22"/>
        </w:rPr>
        <w:t xml:space="preserve">• Lançamento de Reservas de consignados via CNAB </w:t>
      </w:r>
    </w:p>
    <w:p w14:paraId="1A6A71BF" w14:textId="77777777" w:rsidR="00936313" w:rsidRPr="00936313" w:rsidRDefault="00936313" w:rsidP="00936313">
      <w:pPr>
        <w:jc w:val="both"/>
        <w:rPr>
          <w:color w:val="000000"/>
          <w:szCs w:val="22"/>
        </w:rPr>
      </w:pPr>
      <w:r w:rsidRPr="00936313">
        <w:rPr>
          <w:color w:val="000000"/>
          <w:szCs w:val="22"/>
        </w:rPr>
        <w:t xml:space="preserve">• Lançamento de Reservas de Refinanciamentos de consignados via CNAB </w:t>
      </w:r>
    </w:p>
    <w:p w14:paraId="009A5E98" w14:textId="77777777" w:rsidR="00936313" w:rsidRPr="00936313" w:rsidRDefault="00936313" w:rsidP="00936313">
      <w:pPr>
        <w:jc w:val="both"/>
        <w:rPr>
          <w:color w:val="000000"/>
          <w:szCs w:val="22"/>
        </w:rPr>
      </w:pPr>
      <w:r w:rsidRPr="00936313">
        <w:rPr>
          <w:color w:val="000000"/>
          <w:szCs w:val="22"/>
        </w:rPr>
        <w:t xml:space="preserve">• Lançamento de Consignação via CNAB </w:t>
      </w:r>
    </w:p>
    <w:p w14:paraId="3D2B9528" w14:textId="77777777" w:rsidR="00936313" w:rsidRPr="00936313" w:rsidRDefault="00936313" w:rsidP="00936313">
      <w:pPr>
        <w:jc w:val="both"/>
        <w:rPr>
          <w:color w:val="000000"/>
          <w:szCs w:val="22"/>
        </w:rPr>
      </w:pPr>
      <w:r w:rsidRPr="00936313">
        <w:rPr>
          <w:color w:val="000000"/>
          <w:szCs w:val="22"/>
        </w:rPr>
        <w:t xml:space="preserve">• Lançamento de Refinanciamento via CNAB </w:t>
      </w:r>
    </w:p>
    <w:p w14:paraId="4C05F241" w14:textId="77777777" w:rsidR="00936313" w:rsidRPr="00936313" w:rsidRDefault="00936313" w:rsidP="00936313">
      <w:pPr>
        <w:jc w:val="both"/>
        <w:rPr>
          <w:color w:val="000000"/>
          <w:szCs w:val="22"/>
        </w:rPr>
      </w:pPr>
      <w:r w:rsidRPr="00936313">
        <w:rPr>
          <w:color w:val="000000"/>
          <w:szCs w:val="22"/>
        </w:rPr>
        <w:t xml:space="preserve">• Lançamento de Portabilidade via CNAB </w:t>
      </w:r>
    </w:p>
    <w:p w14:paraId="1B2B7AF0" w14:textId="77777777" w:rsidR="00936313" w:rsidRPr="00936313" w:rsidRDefault="00936313" w:rsidP="00936313">
      <w:pPr>
        <w:jc w:val="both"/>
        <w:rPr>
          <w:color w:val="000000"/>
          <w:szCs w:val="22"/>
        </w:rPr>
      </w:pPr>
      <w:r w:rsidRPr="00936313">
        <w:rPr>
          <w:color w:val="000000"/>
          <w:szCs w:val="22"/>
        </w:rPr>
        <w:lastRenderedPageBreak/>
        <w:t xml:space="preserve">• Confirmação de operações de reservas de consignações via CNAB </w:t>
      </w:r>
    </w:p>
    <w:p w14:paraId="6E17FC10" w14:textId="77777777" w:rsidR="00936313" w:rsidRPr="00936313" w:rsidRDefault="00936313" w:rsidP="00936313">
      <w:pPr>
        <w:jc w:val="both"/>
        <w:rPr>
          <w:color w:val="000000"/>
          <w:szCs w:val="22"/>
        </w:rPr>
      </w:pPr>
      <w:r w:rsidRPr="00936313">
        <w:rPr>
          <w:color w:val="000000"/>
          <w:szCs w:val="22"/>
        </w:rPr>
        <w:t xml:space="preserve">• Cancelar reservas de consignações via CNAB </w:t>
      </w:r>
    </w:p>
    <w:p w14:paraId="292DD877" w14:textId="77777777" w:rsidR="00936313" w:rsidRPr="00936313" w:rsidRDefault="00936313" w:rsidP="00936313">
      <w:pPr>
        <w:jc w:val="both"/>
        <w:rPr>
          <w:color w:val="000000"/>
          <w:szCs w:val="22"/>
        </w:rPr>
      </w:pPr>
      <w:r w:rsidRPr="00936313">
        <w:rPr>
          <w:color w:val="000000"/>
          <w:szCs w:val="22"/>
        </w:rPr>
        <w:t xml:space="preserve">• Quitar consignações via CNAB </w:t>
      </w:r>
    </w:p>
    <w:p w14:paraId="5ED62160" w14:textId="77777777" w:rsidR="00936313" w:rsidRPr="00936313" w:rsidRDefault="00936313" w:rsidP="00936313">
      <w:pPr>
        <w:jc w:val="both"/>
        <w:rPr>
          <w:color w:val="000000"/>
          <w:szCs w:val="22"/>
        </w:rPr>
      </w:pPr>
      <w:r w:rsidRPr="00936313">
        <w:rPr>
          <w:color w:val="000000"/>
          <w:szCs w:val="22"/>
        </w:rPr>
        <w:t xml:space="preserve">• Aceitar ou recusar portabilidade via CNAB </w:t>
      </w:r>
    </w:p>
    <w:p w14:paraId="57CB390A" w14:textId="77777777" w:rsidR="00936313" w:rsidRPr="00936313" w:rsidRDefault="00936313" w:rsidP="00936313">
      <w:pPr>
        <w:jc w:val="both"/>
        <w:rPr>
          <w:color w:val="000000"/>
          <w:szCs w:val="22"/>
        </w:rPr>
      </w:pPr>
      <w:r w:rsidRPr="00936313">
        <w:rPr>
          <w:color w:val="000000"/>
          <w:szCs w:val="22"/>
        </w:rPr>
        <w:t xml:space="preserve">• Controle e Monitoramento de performance </w:t>
      </w:r>
    </w:p>
    <w:p w14:paraId="2A581451" w14:textId="77777777" w:rsidR="00936313" w:rsidRPr="00936313" w:rsidRDefault="00936313" w:rsidP="00936313">
      <w:pPr>
        <w:jc w:val="both"/>
        <w:rPr>
          <w:color w:val="000000"/>
          <w:szCs w:val="22"/>
        </w:rPr>
      </w:pPr>
      <w:r w:rsidRPr="00936313">
        <w:rPr>
          <w:color w:val="000000"/>
          <w:szCs w:val="22"/>
        </w:rPr>
        <w:t xml:space="preserve">• Monitoramento de log de integração via SJOB Módulo Mobile Descrição: </w:t>
      </w:r>
    </w:p>
    <w:p w14:paraId="10103F8B" w14:textId="77777777" w:rsidR="00936313" w:rsidRPr="00936313" w:rsidRDefault="00936313" w:rsidP="00936313">
      <w:pPr>
        <w:jc w:val="both"/>
        <w:rPr>
          <w:color w:val="000000"/>
          <w:szCs w:val="22"/>
        </w:rPr>
      </w:pPr>
      <w:r w:rsidRPr="00936313">
        <w:rPr>
          <w:color w:val="000000"/>
          <w:szCs w:val="22"/>
        </w:rPr>
        <w:t xml:space="preserve">Módulo especial permite que consignações sejam lançadas utilizando da mobilidade e segurança do aplicativo </w:t>
      </w:r>
    </w:p>
    <w:p w14:paraId="5A628259" w14:textId="77777777" w:rsidR="00936313" w:rsidRPr="00936313" w:rsidRDefault="00936313" w:rsidP="00936313">
      <w:pPr>
        <w:jc w:val="both"/>
        <w:rPr>
          <w:color w:val="000000"/>
          <w:szCs w:val="22"/>
        </w:rPr>
      </w:pPr>
      <w:r w:rsidRPr="00936313">
        <w:rPr>
          <w:color w:val="000000"/>
          <w:szCs w:val="22"/>
        </w:rPr>
        <w:t xml:space="preserve">• Login via serviço via APP </w:t>
      </w:r>
    </w:p>
    <w:p w14:paraId="102F7BC8" w14:textId="77777777" w:rsidR="00936313" w:rsidRPr="00936313" w:rsidRDefault="00936313" w:rsidP="00936313">
      <w:pPr>
        <w:jc w:val="both"/>
        <w:rPr>
          <w:color w:val="000000"/>
          <w:szCs w:val="22"/>
        </w:rPr>
      </w:pPr>
      <w:r w:rsidRPr="00936313">
        <w:rPr>
          <w:color w:val="000000"/>
          <w:szCs w:val="22"/>
        </w:rPr>
        <w:t xml:space="preserve">• Consultas de Contratos via APP </w:t>
      </w:r>
    </w:p>
    <w:p w14:paraId="08AC6D45" w14:textId="77777777" w:rsidR="00936313" w:rsidRPr="00936313" w:rsidRDefault="00936313" w:rsidP="00936313">
      <w:pPr>
        <w:jc w:val="both"/>
        <w:rPr>
          <w:color w:val="000000"/>
          <w:szCs w:val="22"/>
        </w:rPr>
      </w:pPr>
      <w:r w:rsidRPr="00936313">
        <w:rPr>
          <w:color w:val="000000"/>
          <w:szCs w:val="22"/>
        </w:rPr>
        <w:t xml:space="preserve">• Lançamento de Reservas de consignados via APP </w:t>
      </w:r>
    </w:p>
    <w:p w14:paraId="59E899BA" w14:textId="77777777" w:rsidR="00936313" w:rsidRPr="00936313" w:rsidRDefault="00936313" w:rsidP="00936313">
      <w:pPr>
        <w:jc w:val="both"/>
        <w:rPr>
          <w:color w:val="000000"/>
          <w:szCs w:val="22"/>
        </w:rPr>
      </w:pPr>
      <w:r w:rsidRPr="00936313">
        <w:rPr>
          <w:color w:val="000000"/>
          <w:szCs w:val="22"/>
        </w:rPr>
        <w:t xml:space="preserve">• Lançamento de Reservas de Refinanciamentos de consignados via APP </w:t>
      </w:r>
    </w:p>
    <w:p w14:paraId="4B5E4E1C" w14:textId="77777777" w:rsidR="00936313" w:rsidRPr="00936313" w:rsidRDefault="00936313" w:rsidP="00936313">
      <w:pPr>
        <w:jc w:val="both"/>
        <w:rPr>
          <w:color w:val="000000"/>
          <w:szCs w:val="22"/>
        </w:rPr>
      </w:pPr>
      <w:r w:rsidRPr="00936313">
        <w:rPr>
          <w:color w:val="000000"/>
          <w:szCs w:val="22"/>
        </w:rPr>
        <w:t xml:space="preserve">• Lançamento de Consignação via APP </w:t>
      </w:r>
    </w:p>
    <w:p w14:paraId="7BE76455" w14:textId="77777777" w:rsidR="00936313" w:rsidRPr="00936313" w:rsidRDefault="00936313" w:rsidP="00936313">
      <w:pPr>
        <w:jc w:val="both"/>
        <w:rPr>
          <w:color w:val="000000"/>
          <w:szCs w:val="22"/>
        </w:rPr>
      </w:pPr>
      <w:r w:rsidRPr="00936313">
        <w:rPr>
          <w:color w:val="000000"/>
          <w:szCs w:val="22"/>
        </w:rPr>
        <w:t xml:space="preserve">• Lançamento de Refinanciamento via APP </w:t>
      </w:r>
    </w:p>
    <w:p w14:paraId="77600DD6" w14:textId="7700FAC0" w:rsidR="00936313" w:rsidRDefault="00936313" w:rsidP="00936313">
      <w:pPr>
        <w:jc w:val="both"/>
        <w:rPr>
          <w:color w:val="000000"/>
          <w:szCs w:val="22"/>
        </w:rPr>
      </w:pPr>
      <w:r w:rsidRPr="00936313">
        <w:rPr>
          <w:color w:val="000000"/>
          <w:szCs w:val="22"/>
        </w:rPr>
        <w:t>• Controle e Monitoramento de performance Módulo Recuperação de dívida Descrição:</w:t>
      </w:r>
    </w:p>
    <w:p w14:paraId="25860E68" w14:textId="77777777" w:rsidR="00936313" w:rsidRPr="00936313" w:rsidRDefault="00936313" w:rsidP="00936313">
      <w:pPr>
        <w:jc w:val="both"/>
        <w:rPr>
          <w:color w:val="000000"/>
          <w:szCs w:val="22"/>
        </w:rPr>
      </w:pPr>
      <w:r w:rsidRPr="00936313">
        <w:rPr>
          <w:color w:val="000000"/>
          <w:szCs w:val="22"/>
        </w:rPr>
        <w:t xml:space="preserve">Módulo que permitem que o convênio possa suspender cobranças e ou reprogramá-las inserindo ao final do contrato, além do lançamento com carência controlada </w:t>
      </w:r>
    </w:p>
    <w:p w14:paraId="22E36DFC" w14:textId="77777777" w:rsidR="00936313" w:rsidRPr="00936313" w:rsidRDefault="00936313" w:rsidP="00936313">
      <w:pPr>
        <w:jc w:val="both"/>
        <w:rPr>
          <w:color w:val="000000"/>
          <w:szCs w:val="22"/>
        </w:rPr>
      </w:pPr>
      <w:r w:rsidRPr="00936313">
        <w:rPr>
          <w:color w:val="000000"/>
          <w:szCs w:val="22"/>
        </w:rPr>
        <w:t xml:space="preserve">• Liberação e parametrização de carência </w:t>
      </w:r>
    </w:p>
    <w:p w14:paraId="09FF1ABE" w14:textId="77777777" w:rsidR="00936313" w:rsidRPr="00936313" w:rsidRDefault="00936313" w:rsidP="00936313">
      <w:pPr>
        <w:jc w:val="both"/>
        <w:rPr>
          <w:color w:val="000000"/>
          <w:szCs w:val="22"/>
        </w:rPr>
      </w:pPr>
      <w:r w:rsidRPr="00936313">
        <w:rPr>
          <w:color w:val="000000"/>
          <w:szCs w:val="22"/>
        </w:rPr>
        <w:t xml:space="preserve">• Liberação de reprogramação de parcelas pelo convênio </w:t>
      </w:r>
    </w:p>
    <w:p w14:paraId="1AB1955C" w14:textId="77777777" w:rsidR="00936313" w:rsidRPr="00936313" w:rsidRDefault="00936313" w:rsidP="00936313">
      <w:pPr>
        <w:jc w:val="both"/>
        <w:rPr>
          <w:color w:val="000000"/>
          <w:szCs w:val="22"/>
        </w:rPr>
      </w:pPr>
      <w:r w:rsidRPr="00936313">
        <w:rPr>
          <w:color w:val="000000"/>
          <w:szCs w:val="22"/>
        </w:rPr>
        <w:t xml:space="preserve">• Reprogramação de parcelas automáticas pelo gestor da folha Módulo de Atendimento Descrição: atendimento de suporte nível 1, 2 e 3 de forma remota. </w:t>
      </w:r>
    </w:p>
    <w:p w14:paraId="29BBB5F4" w14:textId="77777777" w:rsidR="00936313" w:rsidRPr="00936313" w:rsidRDefault="00936313" w:rsidP="00936313">
      <w:pPr>
        <w:jc w:val="both"/>
        <w:rPr>
          <w:color w:val="000000"/>
          <w:szCs w:val="22"/>
        </w:rPr>
      </w:pPr>
      <w:r w:rsidRPr="00936313">
        <w:rPr>
          <w:color w:val="000000"/>
          <w:szCs w:val="22"/>
        </w:rPr>
        <w:t xml:space="preserve">• Atendimento via e-mail </w:t>
      </w:r>
    </w:p>
    <w:p w14:paraId="214008B7" w14:textId="77777777" w:rsidR="00936313" w:rsidRPr="00936313" w:rsidRDefault="00936313" w:rsidP="00936313">
      <w:pPr>
        <w:jc w:val="both"/>
        <w:rPr>
          <w:color w:val="000000"/>
          <w:szCs w:val="22"/>
        </w:rPr>
      </w:pPr>
      <w:r w:rsidRPr="00936313">
        <w:rPr>
          <w:color w:val="000000"/>
          <w:szCs w:val="22"/>
        </w:rPr>
        <w:t xml:space="preserve">• Atendimento com acesso remoto </w:t>
      </w:r>
    </w:p>
    <w:p w14:paraId="309B1B5D" w14:textId="77777777" w:rsidR="00936313" w:rsidRPr="00936313" w:rsidRDefault="00936313" w:rsidP="00936313">
      <w:pPr>
        <w:jc w:val="both"/>
        <w:rPr>
          <w:color w:val="000000"/>
          <w:szCs w:val="22"/>
        </w:rPr>
      </w:pPr>
      <w:r w:rsidRPr="00936313">
        <w:rPr>
          <w:color w:val="000000"/>
          <w:szCs w:val="22"/>
        </w:rPr>
        <w:t xml:space="preserve">• Atendimento via chat </w:t>
      </w:r>
    </w:p>
    <w:p w14:paraId="4975922E" w14:textId="77777777" w:rsidR="00936313" w:rsidRPr="00936313" w:rsidRDefault="00936313" w:rsidP="00936313">
      <w:pPr>
        <w:jc w:val="both"/>
        <w:rPr>
          <w:color w:val="000000"/>
          <w:szCs w:val="22"/>
        </w:rPr>
      </w:pPr>
      <w:r w:rsidRPr="00936313">
        <w:rPr>
          <w:color w:val="000000"/>
          <w:szCs w:val="22"/>
        </w:rPr>
        <w:t xml:space="preserve">• Atendimento telefônico </w:t>
      </w:r>
    </w:p>
    <w:p w14:paraId="62504336" w14:textId="3E75CEEB" w:rsidR="00936313" w:rsidRDefault="00936313" w:rsidP="00936313">
      <w:pPr>
        <w:jc w:val="both"/>
        <w:rPr>
          <w:color w:val="000000"/>
          <w:szCs w:val="22"/>
        </w:rPr>
      </w:pPr>
      <w:r w:rsidRPr="00936313">
        <w:rPr>
          <w:color w:val="000000"/>
          <w:szCs w:val="22"/>
        </w:rPr>
        <w:t>• Atendimento nível 3 (Consultoria de desenvolvimento);</w:t>
      </w:r>
    </w:p>
    <w:p w14:paraId="49FFB3DD" w14:textId="77777777" w:rsidR="00936313" w:rsidRDefault="00936313" w:rsidP="00936313">
      <w:pPr>
        <w:jc w:val="both"/>
        <w:rPr>
          <w:color w:val="000000"/>
          <w:szCs w:val="22"/>
        </w:rPr>
      </w:pPr>
    </w:p>
    <w:p w14:paraId="461FC1DC" w14:textId="77777777" w:rsidR="00936313" w:rsidRDefault="00936313" w:rsidP="00DF6BD3">
      <w:pPr>
        <w:ind w:firstLine="708"/>
        <w:jc w:val="both"/>
        <w:rPr>
          <w:color w:val="000000"/>
          <w:szCs w:val="22"/>
        </w:rPr>
      </w:pPr>
    </w:p>
    <w:p w14:paraId="36CF1C23" w14:textId="33EBEBE9" w:rsidR="00936313" w:rsidRPr="00334AD0" w:rsidRDefault="00334AD0" w:rsidP="00334AD0">
      <w:pPr>
        <w:jc w:val="both"/>
        <w:rPr>
          <w:b/>
          <w:bCs/>
          <w:color w:val="000000"/>
          <w:szCs w:val="22"/>
        </w:rPr>
      </w:pPr>
      <w:r w:rsidRPr="00334AD0">
        <w:rPr>
          <w:b/>
          <w:bCs/>
          <w:color w:val="000000"/>
          <w:szCs w:val="22"/>
        </w:rPr>
        <w:t>1.2 DA JUSTIFIC</w:t>
      </w:r>
      <w:r>
        <w:rPr>
          <w:b/>
          <w:bCs/>
          <w:color w:val="000000"/>
          <w:szCs w:val="22"/>
        </w:rPr>
        <w:t>A</w:t>
      </w:r>
      <w:r w:rsidRPr="00334AD0">
        <w:rPr>
          <w:b/>
          <w:bCs/>
          <w:color w:val="000000"/>
          <w:szCs w:val="22"/>
        </w:rPr>
        <w:t>TIVA</w:t>
      </w:r>
    </w:p>
    <w:p w14:paraId="3A05D6FD" w14:textId="1DF8C205" w:rsidR="00F85FBD" w:rsidRDefault="00F85FBD" w:rsidP="00936313">
      <w:pPr>
        <w:ind w:firstLine="708"/>
        <w:jc w:val="both"/>
        <w:rPr>
          <w:color w:val="000000"/>
          <w:szCs w:val="22"/>
        </w:rPr>
      </w:pPr>
      <w:r w:rsidRPr="00A3092C">
        <w:rPr>
          <w:color w:val="000000"/>
          <w:szCs w:val="22"/>
        </w:rPr>
        <w:t>Justifica-s</w:t>
      </w:r>
      <w:r w:rsidR="00E12362">
        <w:rPr>
          <w:color w:val="000000"/>
          <w:szCs w:val="22"/>
        </w:rPr>
        <w:t>e</w:t>
      </w:r>
      <w:r w:rsidRPr="00A3092C">
        <w:rPr>
          <w:color w:val="000000"/>
          <w:szCs w:val="22"/>
        </w:rPr>
        <w:t xml:space="preserve"> a necessidade </w:t>
      </w:r>
      <w:r w:rsidR="00936313">
        <w:rPr>
          <w:color w:val="000000"/>
          <w:szCs w:val="22"/>
        </w:rPr>
        <w:t>tendo em vista que a</w:t>
      </w:r>
      <w:r w:rsidR="00936313" w:rsidRPr="00936313">
        <w:rPr>
          <w:color w:val="000000"/>
          <w:szCs w:val="22"/>
        </w:rPr>
        <w:t xml:space="preserve"> modernização dos processos administrativos é fundamental para a eficiência e a transparência na gestão pública. A contratação de uma empresa especializada para a concessão da licença de uso e atualização de software é necessária para permitir que entidades conveniadas e os próprios órgãos comerciais realizem consignações de descontos e outras operações em folha de pagamento por meio da internet. Essa medida visa otimizar os serviços prestados </w:t>
      </w:r>
      <w:r w:rsidR="00334AD0">
        <w:rPr>
          <w:color w:val="000000"/>
          <w:szCs w:val="22"/>
        </w:rPr>
        <w:t xml:space="preserve">aos servidores </w:t>
      </w:r>
      <w:r w:rsidR="00936313" w:rsidRPr="00936313">
        <w:rPr>
          <w:color w:val="000000"/>
          <w:szCs w:val="22"/>
        </w:rPr>
        <w:t>e garantir a agilidade nas operações financeiras.</w:t>
      </w:r>
    </w:p>
    <w:p w14:paraId="4D14F723" w14:textId="54F40ECE" w:rsidR="00936313" w:rsidRDefault="00936313" w:rsidP="00936313">
      <w:pPr>
        <w:ind w:firstLine="708"/>
        <w:jc w:val="both"/>
        <w:rPr>
          <w:color w:val="000000"/>
          <w:szCs w:val="22"/>
        </w:rPr>
      </w:pPr>
      <w:r w:rsidRPr="00936313">
        <w:rPr>
          <w:color w:val="000000"/>
          <w:szCs w:val="22"/>
        </w:rPr>
        <w:t>A utilização de software atualizado e especializado garante que as operações financeiras sejam realizadas de forma segura, minimizando riscos de fraudes e erros. A empresa contratada deve possuir expertise em segurança da informação, assegurando a proteção dos dados sensíveis dos servidores e das entidades envolvidas.</w:t>
      </w:r>
    </w:p>
    <w:p w14:paraId="1C699C64" w14:textId="77777777" w:rsidR="00936313" w:rsidRDefault="00936313" w:rsidP="00936313">
      <w:pPr>
        <w:ind w:firstLine="708"/>
        <w:jc w:val="both"/>
        <w:rPr>
          <w:color w:val="000000"/>
          <w:szCs w:val="22"/>
        </w:rPr>
      </w:pPr>
    </w:p>
    <w:p w14:paraId="203DF6A1" w14:textId="77777777" w:rsidR="00DF6BD3" w:rsidRPr="00A3092C" w:rsidRDefault="00DF6BD3" w:rsidP="00DF6BD3">
      <w:pPr>
        <w:ind w:firstLine="708"/>
        <w:jc w:val="both"/>
        <w:rPr>
          <w:color w:val="000000"/>
          <w:szCs w:val="22"/>
        </w:rPr>
      </w:pPr>
    </w:p>
    <w:p w14:paraId="11129DFF" w14:textId="515292DE" w:rsidR="004E4F74" w:rsidRPr="00A3092C" w:rsidRDefault="001225C3" w:rsidP="00A3092C">
      <w:pPr>
        <w:jc w:val="both"/>
        <w:rPr>
          <w:color w:val="000000"/>
          <w:szCs w:val="22"/>
        </w:rPr>
      </w:pPr>
      <w:r w:rsidRPr="00A3092C">
        <w:rPr>
          <w:color w:val="000000"/>
          <w:szCs w:val="22"/>
        </w:rPr>
        <w:t>Os serviços objeto d</w:t>
      </w:r>
      <w:r w:rsidR="00D44CBC" w:rsidRPr="00A3092C">
        <w:rPr>
          <w:color w:val="000000"/>
          <w:szCs w:val="22"/>
        </w:rPr>
        <w:t xml:space="preserve">a contratação pretendida possuem as seguintes </w:t>
      </w:r>
      <w:r w:rsidR="00C546BA" w:rsidRPr="00A3092C">
        <w:rPr>
          <w:color w:val="000000"/>
          <w:szCs w:val="22"/>
        </w:rPr>
        <w:t>condições</w:t>
      </w:r>
      <w:r w:rsidR="00D44CBC" w:rsidRPr="00A3092C">
        <w:rPr>
          <w:color w:val="000000"/>
          <w:szCs w:val="22"/>
        </w:rPr>
        <w:t>:</w:t>
      </w:r>
      <w:r w:rsidR="009103C4" w:rsidRPr="00A3092C">
        <w:rPr>
          <w:color w:val="000000"/>
          <w:szCs w:val="22"/>
        </w:rPr>
        <w:t xml:space="preserve"> </w:t>
      </w:r>
    </w:p>
    <w:p w14:paraId="0B37A0FD" w14:textId="1DB6EEBA" w:rsidR="00FF7377" w:rsidRPr="00A3092C" w:rsidRDefault="00FF7377"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Prazo de Entrega/ Execução: </w:t>
      </w:r>
      <w:r w:rsidR="00334AD0">
        <w:rPr>
          <w:rFonts w:ascii="Arial" w:hAnsi="Arial" w:cs="Arial"/>
          <w:color w:val="000000"/>
          <w:sz w:val="22"/>
          <w:szCs w:val="22"/>
        </w:rPr>
        <w:t>A prestação dos serviços deverá ser iniciada a</w:t>
      </w:r>
      <w:r w:rsidR="00C1741E">
        <w:rPr>
          <w:rFonts w:ascii="Arial" w:hAnsi="Arial" w:cs="Arial"/>
          <w:color w:val="000000"/>
          <w:sz w:val="22"/>
          <w:szCs w:val="22"/>
        </w:rPr>
        <w:t xml:space="preserve"> partir da data da assinatura do contrato</w:t>
      </w:r>
      <w:r w:rsidR="00334AD0">
        <w:rPr>
          <w:rFonts w:ascii="Arial" w:hAnsi="Arial" w:cs="Arial"/>
          <w:color w:val="000000"/>
          <w:sz w:val="22"/>
          <w:szCs w:val="22"/>
        </w:rPr>
        <w:t>, tendo como prazo de vigência o período</w:t>
      </w:r>
      <w:r w:rsidR="00C1741E">
        <w:rPr>
          <w:rFonts w:ascii="Arial" w:hAnsi="Arial" w:cs="Arial"/>
          <w:color w:val="000000"/>
          <w:sz w:val="22"/>
          <w:szCs w:val="22"/>
        </w:rPr>
        <w:t xml:space="preserve"> de um ano.</w:t>
      </w:r>
    </w:p>
    <w:p w14:paraId="43768A9C" w14:textId="77777777" w:rsidR="00CB6315" w:rsidRPr="00A3092C" w:rsidRDefault="00CB6315" w:rsidP="00A3092C">
      <w:pPr>
        <w:pStyle w:val="NormalWeb"/>
        <w:spacing w:before="0" w:beforeAutospacing="0" w:after="0" w:afterAutospacing="0"/>
        <w:jc w:val="both"/>
        <w:rPr>
          <w:rFonts w:ascii="Arial" w:hAnsi="Arial" w:cs="Arial"/>
          <w:color w:val="000000"/>
          <w:sz w:val="22"/>
          <w:szCs w:val="22"/>
        </w:rPr>
      </w:pPr>
    </w:p>
    <w:p w14:paraId="21AF9FEE" w14:textId="6084DDBB"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2. FUNDAMENTAÇÃO DA CONTRATAÇÃO</w:t>
      </w:r>
    </w:p>
    <w:p w14:paraId="58A70255" w14:textId="77777777" w:rsidR="00C546BA" w:rsidRPr="00A3092C" w:rsidRDefault="00C546BA" w:rsidP="00A3092C">
      <w:pPr>
        <w:pStyle w:val="NormalWeb"/>
        <w:spacing w:before="0" w:beforeAutospacing="0" w:after="0" w:afterAutospacing="0"/>
        <w:jc w:val="both"/>
        <w:rPr>
          <w:rFonts w:ascii="Arial" w:hAnsi="Arial" w:cs="Arial"/>
          <w:b/>
          <w:bCs/>
          <w:color w:val="000000"/>
          <w:sz w:val="22"/>
          <w:szCs w:val="22"/>
        </w:rPr>
      </w:pPr>
    </w:p>
    <w:p w14:paraId="38F99BE8" w14:textId="0DF112A4" w:rsidR="00056018" w:rsidRPr="00A3092C" w:rsidRDefault="00056018" w:rsidP="00A3092C">
      <w:pPr>
        <w:jc w:val="both"/>
        <w:rPr>
          <w:color w:val="000000"/>
          <w:szCs w:val="22"/>
          <w:lang w:eastAsia="pt-BR"/>
        </w:rPr>
      </w:pPr>
      <w:bookmarkStart w:id="1" w:name="art6xxiiic"/>
      <w:bookmarkEnd w:id="1"/>
      <w:r w:rsidRPr="00A3092C">
        <w:rPr>
          <w:color w:val="000000"/>
          <w:szCs w:val="22"/>
          <w:lang w:eastAsia="pt-BR"/>
        </w:rPr>
        <w:lastRenderedPageBreak/>
        <w:t xml:space="preserve">A contratação será realizada por meio de Dispensa de licitação conforme Lei Federal nº 14.133/2021, nos termos do artigo 75, inciso </w:t>
      </w:r>
      <w:r w:rsidR="004D6DBE" w:rsidRPr="00A3092C">
        <w:rPr>
          <w:color w:val="000000"/>
          <w:szCs w:val="22"/>
          <w:lang w:eastAsia="pt-BR"/>
        </w:rPr>
        <w:t>I</w:t>
      </w:r>
      <w:r w:rsidR="008D7A04">
        <w:rPr>
          <w:color w:val="000000"/>
          <w:szCs w:val="22"/>
          <w:lang w:eastAsia="pt-BR"/>
        </w:rPr>
        <w:t>I</w:t>
      </w:r>
      <w:r w:rsidRPr="00A3092C">
        <w:rPr>
          <w:color w:val="000000"/>
          <w:szCs w:val="22"/>
          <w:lang w:eastAsia="pt-BR"/>
        </w:rPr>
        <w:t>.</w:t>
      </w:r>
    </w:p>
    <w:p w14:paraId="0CAD890C" w14:textId="77777777" w:rsidR="00706FCD" w:rsidRDefault="00706FCD" w:rsidP="00A3092C">
      <w:pPr>
        <w:pStyle w:val="NormalWeb"/>
        <w:spacing w:before="0" w:beforeAutospacing="0" w:after="0" w:afterAutospacing="0"/>
        <w:jc w:val="both"/>
        <w:rPr>
          <w:rFonts w:ascii="Arial" w:hAnsi="Arial" w:cs="Arial"/>
          <w:b/>
          <w:bCs/>
          <w:color w:val="000000"/>
          <w:sz w:val="22"/>
          <w:szCs w:val="22"/>
        </w:rPr>
      </w:pPr>
    </w:p>
    <w:p w14:paraId="24076120" w14:textId="2BCFA941"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3. DESCRIÇÃO DA SOLUÇÃO COMO UM TODO</w:t>
      </w:r>
    </w:p>
    <w:p w14:paraId="3C038EBC" w14:textId="77777777" w:rsidR="00D6645D" w:rsidRPr="00A3092C" w:rsidRDefault="00D6645D" w:rsidP="00A3092C">
      <w:pPr>
        <w:pStyle w:val="NormalWeb"/>
        <w:spacing w:before="0" w:beforeAutospacing="0" w:after="0" w:afterAutospacing="0"/>
        <w:jc w:val="both"/>
        <w:rPr>
          <w:rFonts w:ascii="Arial" w:hAnsi="Arial" w:cs="Arial"/>
          <w:b/>
          <w:bCs/>
          <w:color w:val="000000"/>
          <w:sz w:val="22"/>
          <w:szCs w:val="22"/>
        </w:rPr>
      </w:pPr>
    </w:p>
    <w:p w14:paraId="1BB60308" w14:textId="1E3CFC45" w:rsidR="00334AD0" w:rsidRDefault="00334AD0" w:rsidP="00334AD0">
      <w:pPr>
        <w:pStyle w:val="NormalWeb"/>
        <w:jc w:val="both"/>
        <w:rPr>
          <w:rFonts w:ascii="Arial" w:hAnsi="Arial" w:cs="Arial"/>
          <w:bCs/>
          <w:color w:val="000000"/>
          <w:sz w:val="22"/>
          <w:szCs w:val="22"/>
        </w:rPr>
      </w:pPr>
      <w:r>
        <w:rPr>
          <w:rFonts w:ascii="Arial" w:hAnsi="Arial" w:cs="Arial"/>
          <w:bCs/>
          <w:color w:val="000000"/>
          <w:sz w:val="22"/>
          <w:szCs w:val="22"/>
        </w:rPr>
        <w:t>A</w:t>
      </w:r>
      <w:r w:rsidRPr="00334AD0">
        <w:rPr>
          <w:rFonts w:ascii="Arial" w:hAnsi="Arial" w:cs="Arial"/>
          <w:bCs/>
          <w:color w:val="000000"/>
          <w:sz w:val="22"/>
          <w:szCs w:val="22"/>
        </w:rPr>
        <w:t xml:space="preserve"> solução proposta é a contratação de empresa para prestação de serviço de concessão da licença de uso e a atualização de software ao </w:t>
      </w:r>
      <w:r>
        <w:rPr>
          <w:rFonts w:ascii="Arial" w:hAnsi="Arial" w:cs="Arial"/>
          <w:bCs/>
          <w:color w:val="000000"/>
          <w:sz w:val="22"/>
          <w:szCs w:val="22"/>
        </w:rPr>
        <w:t>M</w:t>
      </w:r>
      <w:r w:rsidRPr="00334AD0">
        <w:rPr>
          <w:rFonts w:ascii="Arial" w:hAnsi="Arial" w:cs="Arial"/>
          <w:bCs/>
          <w:color w:val="000000"/>
          <w:sz w:val="22"/>
          <w:szCs w:val="22"/>
        </w:rPr>
        <w:t>unicípio de Miraguaí/</w:t>
      </w:r>
      <w:r>
        <w:rPr>
          <w:rFonts w:ascii="Arial" w:hAnsi="Arial" w:cs="Arial"/>
          <w:bCs/>
          <w:color w:val="000000"/>
          <w:sz w:val="22"/>
          <w:szCs w:val="22"/>
        </w:rPr>
        <w:t>RS</w:t>
      </w:r>
      <w:r w:rsidRPr="00334AD0">
        <w:rPr>
          <w:rFonts w:ascii="Arial" w:hAnsi="Arial" w:cs="Arial"/>
          <w:bCs/>
          <w:color w:val="000000"/>
          <w:sz w:val="22"/>
          <w:szCs w:val="22"/>
        </w:rPr>
        <w:t>, com o objetivo de permitir que entidades conveniadas e os próprios órgãos comerciais realizem consignações de descontos e outras operações em folha de pagamento por meio da internet.</w:t>
      </w:r>
    </w:p>
    <w:p w14:paraId="309F0E64" w14:textId="339B1845" w:rsidR="00334AD0" w:rsidRPr="00334AD0" w:rsidRDefault="00334AD0" w:rsidP="00334AD0">
      <w:pPr>
        <w:pStyle w:val="NormalWeb"/>
        <w:jc w:val="both"/>
        <w:rPr>
          <w:bCs/>
          <w:color w:val="000000"/>
          <w:szCs w:val="22"/>
        </w:rPr>
      </w:pPr>
      <w:r>
        <w:rPr>
          <w:rFonts w:ascii="Arial" w:hAnsi="Arial" w:cs="Arial"/>
          <w:bCs/>
          <w:color w:val="000000"/>
          <w:sz w:val="22"/>
          <w:szCs w:val="22"/>
        </w:rPr>
        <w:t>Nesse sentido,</w:t>
      </w:r>
      <w:r w:rsidRPr="00334AD0">
        <w:rPr>
          <w:rFonts w:ascii="Arial" w:hAnsi="Arial" w:cs="Arial"/>
          <w:bCs/>
          <w:color w:val="000000"/>
          <w:sz w:val="22"/>
          <w:szCs w:val="22"/>
        </w:rPr>
        <w:t xml:space="preserve"> concessão da licença de uso e atualização de software ao município de Miraguaí/RS é uma medida essencial para modernizar a gestão da folha de pagamento. Com a implementação dessa solução, o município estará apto a oferecer um serviço mais eficiente, seguro e transparente, beneficiando tanto os servidores quanto as entidades conveniadas. A contratação de uma empresa especializada garantirá a qualidade e a eficácia do sistema, promovendo a inovação e a melhoria contínua na administração pública.</w:t>
      </w:r>
    </w:p>
    <w:p w14:paraId="03BA7E40" w14:textId="60F7ECEA" w:rsidR="00CB6315" w:rsidRPr="00A3092C" w:rsidRDefault="00CB6315" w:rsidP="00334AD0">
      <w:pPr>
        <w:pStyle w:val="NormalWeb"/>
        <w:spacing w:before="0" w:beforeAutospacing="0" w:after="0" w:afterAutospacing="0"/>
        <w:jc w:val="both"/>
        <w:rPr>
          <w:b/>
          <w:bCs/>
          <w:color w:val="000000"/>
          <w:szCs w:val="22"/>
        </w:rPr>
      </w:pPr>
    </w:p>
    <w:p w14:paraId="45949D00" w14:textId="2D2C1051"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bookmarkStart w:id="2" w:name="art6xxiiid"/>
      <w:bookmarkEnd w:id="2"/>
      <w:r w:rsidRPr="00A3092C">
        <w:rPr>
          <w:rFonts w:ascii="Arial" w:hAnsi="Arial" w:cs="Arial"/>
          <w:b/>
          <w:bCs/>
          <w:color w:val="000000"/>
          <w:sz w:val="22"/>
          <w:szCs w:val="22"/>
        </w:rPr>
        <w:t>4. REQUISITOS DA CONTRATAÇÃO</w:t>
      </w:r>
    </w:p>
    <w:p w14:paraId="0FD8F2AB" w14:textId="77777777" w:rsidR="0045094B" w:rsidRPr="00A3092C" w:rsidRDefault="0045094B" w:rsidP="00A3092C">
      <w:pPr>
        <w:pStyle w:val="NormalWeb"/>
        <w:spacing w:before="0" w:beforeAutospacing="0" w:after="0" w:afterAutospacing="0"/>
        <w:jc w:val="both"/>
        <w:rPr>
          <w:rFonts w:ascii="Arial" w:hAnsi="Arial" w:cs="Arial"/>
          <w:color w:val="000000"/>
          <w:sz w:val="22"/>
          <w:szCs w:val="22"/>
        </w:rPr>
      </w:pPr>
      <w:bookmarkStart w:id="3" w:name="art6xxiiie"/>
      <w:bookmarkEnd w:id="3"/>
    </w:p>
    <w:p w14:paraId="66F3227E" w14:textId="0D934650" w:rsidR="00E33A43" w:rsidRPr="00A3092C" w:rsidRDefault="00E33A43" w:rsidP="00A3092C">
      <w:pPr>
        <w:jc w:val="both"/>
        <w:rPr>
          <w:szCs w:val="22"/>
        </w:rPr>
      </w:pPr>
      <w:r w:rsidRPr="00A3092C">
        <w:rPr>
          <w:szCs w:val="22"/>
        </w:rPr>
        <w:t xml:space="preserve">Os </w:t>
      </w:r>
      <w:r w:rsidR="00571991" w:rsidRPr="00A3092C">
        <w:rPr>
          <w:szCs w:val="22"/>
        </w:rPr>
        <w:t>serviços</w:t>
      </w:r>
      <w:r w:rsidRPr="00A3092C">
        <w:rPr>
          <w:szCs w:val="22"/>
        </w:rPr>
        <w:t xml:space="preserve"> têm natureza de serviços comuns, tendo em vista que seus </w:t>
      </w:r>
      <w:r w:rsidRPr="00A3092C">
        <w:rPr>
          <w:color w:val="000000"/>
          <w:szCs w:val="22"/>
        </w:rPr>
        <w:t xml:space="preserve">padrões de desempenho e qualidade podem ser objetivamente definidos pelo edital, por meio de especificações usuais de mercado, </w:t>
      </w:r>
      <w:r w:rsidRPr="00A3092C">
        <w:rPr>
          <w:szCs w:val="22"/>
        </w:rPr>
        <w:t xml:space="preserve">nos termos do art. 6º, inciso XIII, da Lei </w:t>
      </w:r>
      <w:r w:rsidR="009103C4" w:rsidRPr="00A3092C">
        <w:rPr>
          <w:szCs w:val="22"/>
        </w:rPr>
        <w:t xml:space="preserve">Federal </w:t>
      </w:r>
      <w:r w:rsidRPr="00A3092C">
        <w:rPr>
          <w:szCs w:val="22"/>
        </w:rPr>
        <w:t>nº 14.133/2021.</w:t>
      </w:r>
    </w:p>
    <w:p w14:paraId="62554CB3" w14:textId="77777777" w:rsidR="00E33A43" w:rsidRPr="00A3092C" w:rsidRDefault="00E33A43" w:rsidP="00A3092C">
      <w:pPr>
        <w:jc w:val="both"/>
        <w:rPr>
          <w:szCs w:val="22"/>
        </w:rPr>
      </w:pPr>
    </w:p>
    <w:p w14:paraId="7D6C6017" w14:textId="40BA58B7" w:rsidR="00E33A43" w:rsidRPr="00A3092C" w:rsidRDefault="00E33A43" w:rsidP="00A3092C">
      <w:pPr>
        <w:jc w:val="both"/>
        <w:rPr>
          <w:szCs w:val="22"/>
        </w:rPr>
      </w:pPr>
      <w:r w:rsidRPr="00A3092C">
        <w:rPr>
          <w:szCs w:val="22"/>
        </w:rPr>
        <w:t xml:space="preserve">A contratação será realizada por meio de </w:t>
      </w:r>
      <w:r w:rsidR="00571991" w:rsidRPr="00A3092C">
        <w:rPr>
          <w:szCs w:val="22"/>
        </w:rPr>
        <w:t>Dispensa de Licitação</w:t>
      </w:r>
      <w:r w:rsidRPr="00A3092C">
        <w:rPr>
          <w:szCs w:val="22"/>
        </w:rPr>
        <w:t xml:space="preserve"> nos termos </w:t>
      </w:r>
      <w:r w:rsidR="00944B76" w:rsidRPr="00A3092C">
        <w:rPr>
          <w:szCs w:val="22"/>
        </w:rPr>
        <w:t>do artigo 75, inciso I</w:t>
      </w:r>
      <w:r w:rsidR="008D7A04">
        <w:rPr>
          <w:szCs w:val="22"/>
        </w:rPr>
        <w:t>I</w:t>
      </w:r>
      <w:r w:rsidR="004820BE" w:rsidRPr="00A3092C">
        <w:rPr>
          <w:szCs w:val="22"/>
        </w:rPr>
        <w:t>,</w:t>
      </w:r>
      <w:r w:rsidRPr="00A3092C">
        <w:rPr>
          <w:szCs w:val="22"/>
        </w:rPr>
        <w:t xml:space="preserve"> da Lei </w:t>
      </w:r>
      <w:r w:rsidR="003A1A5C" w:rsidRPr="00A3092C">
        <w:rPr>
          <w:szCs w:val="22"/>
        </w:rPr>
        <w:t xml:space="preserve">Federal </w:t>
      </w:r>
      <w:r w:rsidRPr="00A3092C">
        <w:rPr>
          <w:szCs w:val="22"/>
        </w:rPr>
        <w:t>nº 14.133/2021.</w:t>
      </w:r>
    </w:p>
    <w:p w14:paraId="41AF563B" w14:textId="77777777" w:rsidR="00E33A43" w:rsidRPr="00A3092C" w:rsidRDefault="00E33A43" w:rsidP="00A3092C">
      <w:pPr>
        <w:jc w:val="both"/>
        <w:rPr>
          <w:szCs w:val="22"/>
        </w:rPr>
      </w:pPr>
    </w:p>
    <w:p w14:paraId="7E8BE348" w14:textId="7C260884" w:rsidR="00E33A43" w:rsidRPr="00A3092C" w:rsidRDefault="00E33A43" w:rsidP="00A3092C">
      <w:pPr>
        <w:jc w:val="both"/>
        <w:rPr>
          <w:szCs w:val="22"/>
        </w:rPr>
      </w:pPr>
      <w:r w:rsidRPr="00A3092C">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A3092C">
        <w:rPr>
          <w:szCs w:val="22"/>
        </w:rPr>
        <w:t xml:space="preserve">Federal </w:t>
      </w:r>
      <w:r w:rsidRPr="00A3092C">
        <w:rPr>
          <w:szCs w:val="22"/>
        </w:rPr>
        <w:t>nº 14.133/2021:</w:t>
      </w:r>
    </w:p>
    <w:p w14:paraId="760F0FDD" w14:textId="77777777" w:rsidR="00056018" w:rsidRPr="00A3092C" w:rsidRDefault="00056018" w:rsidP="00A3092C">
      <w:pPr>
        <w:jc w:val="both"/>
        <w:rPr>
          <w:szCs w:val="22"/>
        </w:rPr>
      </w:pPr>
    </w:p>
    <w:p w14:paraId="3AE0911D" w14:textId="77777777" w:rsidR="00056018" w:rsidRPr="00A3092C" w:rsidRDefault="00056018" w:rsidP="00A3092C">
      <w:pPr>
        <w:jc w:val="both"/>
        <w:rPr>
          <w:szCs w:val="22"/>
        </w:rPr>
      </w:pPr>
      <w:r w:rsidRPr="00A3092C">
        <w:rPr>
          <w:szCs w:val="22"/>
        </w:rPr>
        <w:t>HABILITAÇÃO JURÍDICA</w:t>
      </w:r>
    </w:p>
    <w:p w14:paraId="542BDAE1" w14:textId="77777777" w:rsidR="00056018" w:rsidRPr="00A3092C" w:rsidRDefault="00056018" w:rsidP="00A3092C">
      <w:pPr>
        <w:jc w:val="both"/>
        <w:rPr>
          <w:szCs w:val="22"/>
        </w:rPr>
      </w:pPr>
      <w:r w:rsidRPr="00A3092C">
        <w:rPr>
          <w:szCs w:val="22"/>
        </w:rPr>
        <w:t>a) cópia do registro comercial, no caso de empresa individual;</w:t>
      </w:r>
    </w:p>
    <w:p w14:paraId="3178BF4F" w14:textId="77777777" w:rsidR="00056018" w:rsidRPr="00A3092C" w:rsidRDefault="00056018" w:rsidP="00A3092C">
      <w:pPr>
        <w:jc w:val="both"/>
        <w:rPr>
          <w:szCs w:val="22"/>
        </w:rPr>
      </w:pPr>
      <w:r w:rsidRPr="00A3092C">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A3092C" w:rsidRDefault="00056018" w:rsidP="00A3092C">
      <w:pPr>
        <w:jc w:val="both"/>
        <w:rPr>
          <w:szCs w:val="22"/>
        </w:rPr>
      </w:pPr>
      <w:r w:rsidRPr="00A3092C">
        <w:rPr>
          <w:szCs w:val="22"/>
        </w:rPr>
        <w:t>c) comprovante de inscrição no Cadastro Nacional de Pessoa Física (CPF), se o licitante for pessoa natural, ou no Cadastro Nacional da Pessoa Jurídica (CNPJ/MF), se o licitante for pessoa jurídica;</w:t>
      </w:r>
    </w:p>
    <w:p w14:paraId="17C8CC50" w14:textId="17204ABA" w:rsidR="00056018" w:rsidRPr="00A3092C" w:rsidRDefault="00056018" w:rsidP="00A3092C">
      <w:pPr>
        <w:jc w:val="both"/>
        <w:rPr>
          <w:szCs w:val="22"/>
        </w:rPr>
      </w:pPr>
      <w:r w:rsidRPr="00A3092C">
        <w:rPr>
          <w:szCs w:val="22"/>
        </w:rPr>
        <w:t>d) cópia do decreto de autorização, em se tratando de empresa ou sociedade estrangeira em funcionamento no País, e ato de registro ou autorização para funcionamento expedido pelo órgão competente, quando a atividade assim o exigir</w:t>
      </w:r>
      <w:r w:rsidR="00106DA3" w:rsidRPr="00A3092C">
        <w:rPr>
          <w:szCs w:val="22"/>
        </w:rPr>
        <w:t xml:space="preserve">; </w:t>
      </w:r>
    </w:p>
    <w:p w14:paraId="3F93DD79" w14:textId="04F4902D" w:rsidR="00106DA3" w:rsidRPr="00A3092C" w:rsidRDefault="00106DA3" w:rsidP="00A3092C">
      <w:pPr>
        <w:jc w:val="both"/>
        <w:rPr>
          <w:szCs w:val="22"/>
        </w:rPr>
      </w:pPr>
      <w:r w:rsidRPr="00A3092C">
        <w:rPr>
          <w:szCs w:val="22"/>
        </w:rPr>
        <w:t xml:space="preserve">e) Declaração de que atende o disposto no artigo 7º, inciso XXXIII, da Constituição Federal. </w:t>
      </w:r>
    </w:p>
    <w:p w14:paraId="0D52D1F0" w14:textId="77777777" w:rsidR="00056018" w:rsidRPr="00A3092C" w:rsidRDefault="00056018" w:rsidP="00A3092C">
      <w:pPr>
        <w:jc w:val="both"/>
        <w:rPr>
          <w:szCs w:val="22"/>
        </w:rPr>
      </w:pPr>
    </w:p>
    <w:p w14:paraId="3D4CA0DC" w14:textId="77777777" w:rsidR="00056018" w:rsidRPr="00A3092C" w:rsidRDefault="00056018" w:rsidP="00A3092C">
      <w:pPr>
        <w:jc w:val="both"/>
        <w:rPr>
          <w:szCs w:val="22"/>
        </w:rPr>
      </w:pPr>
      <w:r w:rsidRPr="00A3092C">
        <w:rPr>
          <w:szCs w:val="22"/>
        </w:rPr>
        <w:t>HABILITAÇÃO FISCAL, SOCIAL E TRABALHISTA</w:t>
      </w:r>
    </w:p>
    <w:p w14:paraId="3FC3FE8E" w14:textId="77777777" w:rsidR="00056018" w:rsidRPr="00A3092C" w:rsidRDefault="00056018" w:rsidP="00A3092C">
      <w:pPr>
        <w:jc w:val="both"/>
        <w:rPr>
          <w:szCs w:val="22"/>
        </w:rPr>
      </w:pPr>
      <w:r w:rsidRPr="00A3092C">
        <w:rPr>
          <w:szCs w:val="22"/>
        </w:rPr>
        <w:lastRenderedPageBreak/>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A3092C" w:rsidRDefault="00056018" w:rsidP="00A3092C">
      <w:pPr>
        <w:jc w:val="both"/>
        <w:rPr>
          <w:szCs w:val="22"/>
        </w:rPr>
      </w:pPr>
      <w:r w:rsidRPr="00A3092C">
        <w:rPr>
          <w:szCs w:val="22"/>
        </w:rPr>
        <w:t>b) prova de regularidade perante a Fazenda federal, estadual e/ou municipal do domicílio ou sede do licitante;</w:t>
      </w:r>
    </w:p>
    <w:p w14:paraId="4D1F2EC7" w14:textId="77777777" w:rsidR="00056018" w:rsidRPr="00A3092C" w:rsidRDefault="00056018" w:rsidP="00A3092C">
      <w:pPr>
        <w:jc w:val="both"/>
        <w:rPr>
          <w:szCs w:val="22"/>
        </w:rPr>
      </w:pPr>
      <w:r w:rsidRPr="00A3092C">
        <w:rPr>
          <w:szCs w:val="22"/>
        </w:rPr>
        <w:t>c) prova de regularidade relativa à Seguridade Social e ao FGTS, que demonstre cumprimento dos encargos sociais instituídos por lei;</w:t>
      </w:r>
    </w:p>
    <w:p w14:paraId="40526581" w14:textId="77777777" w:rsidR="00056018" w:rsidRPr="00A3092C" w:rsidRDefault="00056018" w:rsidP="00A3092C">
      <w:pPr>
        <w:jc w:val="both"/>
        <w:rPr>
          <w:szCs w:val="22"/>
        </w:rPr>
      </w:pPr>
      <w:r w:rsidRPr="00A3092C">
        <w:rPr>
          <w:szCs w:val="22"/>
        </w:rPr>
        <w:t>d) prova de regularidade perante a Justiça do Trabalho.</w:t>
      </w:r>
    </w:p>
    <w:p w14:paraId="340CDE34" w14:textId="77777777" w:rsidR="00056018" w:rsidRPr="00A3092C" w:rsidRDefault="00056018" w:rsidP="00A3092C">
      <w:pPr>
        <w:jc w:val="both"/>
        <w:rPr>
          <w:szCs w:val="22"/>
        </w:rPr>
      </w:pPr>
    </w:p>
    <w:p w14:paraId="1DB94FED" w14:textId="77777777" w:rsidR="00DE5913" w:rsidRPr="00A3092C" w:rsidRDefault="00DE5913" w:rsidP="00A3092C">
      <w:pPr>
        <w:pStyle w:val="PargrafodaLista"/>
        <w:ind w:left="0"/>
        <w:jc w:val="both"/>
        <w:rPr>
          <w:szCs w:val="22"/>
        </w:rPr>
      </w:pPr>
      <w:r w:rsidRPr="00A3092C">
        <w:rPr>
          <w:szCs w:val="22"/>
        </w:rPr>
        <w:t>HABILITAÇÃO ECONÔMICO-FINANCEIRA:</w:t>
      </w:r>
    </w:p>
    <w:p w14:paraId="693BF91B" w14:textId="7D2CA693" w:rsidR="00DE5913" w:rsidRPr="00A3092C" w:rsidRDefault="00DE5913" w:rsidP="00A3092C">
      <w:pPr>
        <w:pStyle w:val="PargrafodaLista"/>
        <w:numPr>
          <w:ilvl w:val="0"/>
          <w:numId w:val="9"/>
        </w:numPr>
        <w:ind w:left="0" w:firstLine="0"/>
        <w:jc w:val="both"/>
        <w:rPr>
          <w:szCs w:val="22"/>
        </w:rPr>
      </w:pPr>
      <w:r w:rsidRPr="00A3092C">
        <w:rPr>
          <w:szCs w:val="22"/>
        </w:rPr>
        <w:t xml:space="preserve">certidão negativa de falência expedida pelo distribuidor da sede da pessoa jurídica, em prazo não superior a </w:t>
      </w:r>
      <w:r w:rsidR="008D7A04">
        <w:rPr>
          <w:szCs w:val="22"/>
        </w:rPr>
        <w:t>6</w:t>
      </w:r>
      <w:r w:rsidRPr="00A3092C">
        <w:rPr>
          <w:szCs w:val="22"/>
        </w:rPr>
        <w:t>0 dias da data designada para a apresentação do documento;</w:t>
      </w:r>
    </w:p>
    <w:p w14:paraId="6A7A3499" w14:textId="77777777" w:rsidR="00DE5913" w:rsidRPr="00A3092C" w:rsidRDefault="00DE5913" w:rsidP="00A3092C">
      <w:pPr>
        <w:pStyle w:val="PargrafodaLista"/>
        <w:ind w:left="0"/>
        <w:jc w:val="both"/>
        <w:rPr>
          <w:szCs w:val="22"/>
        </w:rPr>
      </w:pPr>
    </w:p>
    <w:p w14:paraId="6A7DA089" w14:textId="77777777" w:rsidR="00DE5913" w:rsidRPr="00A3092C" w:rsidRDefault="00DE5913" w:rsidP="00A3092C">
      <w:pPr>
        <w:pStyle w:val="PargrafodaLista"/>
        <w:ind w:left="0"/>
        <w:jc w:val="both"/>
        <w:rPr>
          <w:szCs w:val="22"/>
        </w:rPr>
      </w:pPr>
      <w:r w:rsidRPr="00A3092C">
        <w:rPr>
          <w:szCs w:val="22"/>
        </w:rPr>
        <w:t>QUALIFICAÇÃO TÉCNICA</w:t>
      </w:r>
    </w:p>
    <w:p w14:paraId="4A74F0D4" w14:textId="77777777" w:rsidR="00DE5913" w:rsidRPr="00A3092C" w:rsidRDefault="00DE5913" w:rsidP="00A3092C">
      <w:pPr>
        <w:pStyle w:val="PargrafodaLista"/>
        <w:ind w:left="0"/>
        <w:jc w:val="both"/>
        <w:rPr>
          <w:b/>
          <w:szCs w:val="22"/>
        </w:rPr>
      </w:pPr>
    </w:p>
    <w:p w14:paraId="0FF7521A" w14:textId="331DEBD3" w:rsidR="00DE5913" w:rsidRDefault="00DE5913" w:rsidP="00A3092C">
      <w:pPr>
        <w:pStyle w:val="PargrafodaLista"/>
        <w:ind w:left="0"/>
        <w:jc w:val="both"/>
        <w:rPr>
          <w:szCs w:val="22"/>
        </w:rPr>
      </w:pPr>
      <w:r w:rsidRPr="00A3092C">
        <w:rPr>
          <w:b/>
          <w:bCs/>
          <w:szCs w:val="22"/>
        </w:rPr>
        <w:t>a)</w:t>
      </w:r>
      <w:r w:rsidRPr="00A3092C">
        <w:rPr>
          <w:szCs w:val="22"/>
        </w:rPr>
        <w:t xml:space="preserve"> Comprovação de que </w:t>
      </w:r>
      <w:r w:rsidR="009D54C3">
        <w:rPr>
          <w:szCs w:val="22"/>
        </w:rPr>
        <w:t>a empresa</w:t>
      </w:r>
      <w:r w:rsidRPr="00A3092C">
        <w:rPr>
          <w:szCs w:val="22"/>
        </w:rPr>
        <w:t xml:space="preserve"> possui </w:t>
      </w:r>
      <w:r w:rsidR="009D54C3">
        <w:rPr>
          <w:szCs w:val="22"/>
        </w:rPr>
        <w:t>qualificação</w:t>
      </w:r>
      <w:r w:rsidRPr="00A3092C">
        <w:rPr>
          <w:szCs w:val="22"/>
        </w:rPr>
        <w:t xml:space="preserve">, por meio da apresentação de atestado </w:t>
      </w:r>
      <w:r w:rsidR="002857BE">
        <w:rPr>
          <w:szCs w:val="22"/>
        </w:rPr>
        <w:t xml:space="preserve">de capacidade técnica emitido por </w:t>
      </w:r>
      <w:r w:rsidR="009D54C3">
        <w:rPr>
          <w:szCs w:val="22"/>
        </w:rPr>
        <w:t>órgãos púbicos</w:t>
      </w:r>
      <w:r w:rsidRPr="00A3092C">
        <w:rPr>
          <w:szCs w:val="22"/>
        </w:rPr>
        <w:t xml:space="preserve">, que demonstrem que </w:t>
      </w:r>
      <w:r w:rsidR="009D54C3">
        <w:rPr>
          <w:szCs w:val="22"/>
        </w:rPr>
        <w:t>a empresa</w:t>
      </w:r>
      <w:r w:rsidRPr="00A3092C">
        <w:rPr>
          <w:szCs w:val="22"/>
        </w:rPr>
        <w:t xml:space="preserve"> </w:t>
      </w:r>
      <w:r w:rsidR="002857BE">
        <w:rPr>
          <w:szCs w:val="22"/>
        </w:rPr>
        <w:t>já prestou serviços iguais ou semelhantes ao objeto desse termo de referência.</w:t>
      </w:r>
    </w:p>
    <w:p w14:paraId="228C8904" w14:textId="77777777" w:rsidR="002857BE" w:rsidRDefault="002857BE" w:rsidP="00A3092C">
      <w:pPr>
        <w:pStyle w:val="PargrafodaLista"/>
        <w:ind w:left="0"/>
        <w:jc w:val="both"/>
        <w:rPr>
          <w:szCs w:val="22"/>
        </w:rPr>
      </w:pPr>
    </w:p>
    <w:p w14:paraId="03870995" w14:textId="0AB99583" w:rsidR="002857BE" w:rsidRDefault="002857BE" w:rsidP="00A3092C">
      <w:pPr>
        <w:pStyle w:val="PargrafodaLista"/>
        <w:ind w:left="0"/>
        <w:jc w:val="both"/>
        <w:rPr>
          <w:szCs w:val="22"/>
        </w:rPr>
      </w:pPr>
      <w:r>
        <w:rPr>
          <w:szCs w:val="22"/>
        </w:rPr>
        <w:t>DECLARAÇÕES</w:t>
      </w:r>
    </w:p>
    <w:p w14:paraId="7F8CCC44" w14:textId="77777777" w:rsidR="002857BE" w:rsidRPr="002857BE" w:rsidRDefault="002857BE" w:rsidP="002857BE">
      <w:pPr>
        <w:pStyle w:val="PargrafodaLista"/>
        <w:jc w:val="both"/>
        <w:rPr>
          <w:szCs w:val="22"/>
        </w:rPr>
      </w:pPr>
    </w:p>
    <w:p w14:paraId="578553F3" w14:textId="136FB071" w:rsidR="002857BE" w:rsidRPr="002857BE" w:rsidRDefault="002857BE" w:rsidP="002857BE">
      <w:pPr>
        <w:pStyle w:val="PargrafodaLista"/>
        <w:numPr>
          <w:ilvl w:val="2"/>
          <w:numId w:val="10"/>
        </w:numPr>
        <w:ind w:left="0"/>
        <w:jc w:val="both"/>
        <w:rPr>
          <w:szCs w:val="22"/>
        </w:rPr>
      </w:pPr>
      <w:r>
        <w:rPr>
          <w:szCs w:val="22"/>
        </w:rPr>
        <w:t xml:space="preserve">a) </w:t>
      </w:r>
      <w:r w:rsidRPr="002857BE">
        <w:rPr>
          <w:szCs w:val="22"/>
        </w:rPr>
        <w:t>Declaração do licitante de que NÃO emprega menor de dezoito anos em trabalho noturno, perigoso ou insalubre e não emprega menor de dezesseis anos, salvo na condição de aprendiz a partir de 14 anos, nos termos do art. 7º, XXXIII, da Constituição Federal e art. 68, VI, da Lei Federal 14.133/2021</w:t>
      </w:r>
      <w:r>
        <w:rPr>
          <w:szCs w:val="22"/>
        </w:rPr>
        <w:t>;</w:t>
      </w:r>
    </w:p>
    <w:p w14:paraId="5E3AF89F" w14:textId="377398B6" w:rsidR="002857BE" w:rsidRPr="002857BE" w:rsidRDefault="002857BE" w:rsidP="002857BE">
      <w:pPr>
        <w:pStyle w:val="PargrafodaLista"/>
        <w:numPr>
          <w:ilvl w:val="2"/>
          <w:numId w:val="10"/>
        </w:numPr>
        <w:ind w:left="0"/>
        <w:jc w:val="both"/>
        <w:rPr>
          <w:szCs w:val="22"/>
        </w:rPr>
      </w:pPr>
      <w:r>
        <w:rPr>
          <w:szCs w:val="22"/>
        </w:rPr>
        <w:t xml:space="preserve">b) </w:t>
      </w:r>
      <w:r w:rsidRPr="002857BE">
        <w:rPr>
          <w:szCs w:val="22"/>
        </w:rPr>
        <w:t xml:space="preserve">Declaração que a licitante não possui em seu quadro de pessoal servidor público do Poder Executivo Municipal de </w:t>
      </w:r>
      <w:r>
        <w:rPr>
          <w:szCs w:val="22"/>
        </w:rPr>
        <w:t>Miraguaí</w:t>
      </w:r>
      <w:r w:rsidRPr="002857BE">
        <w:rPr>
          <w:szCs w:val="22"/>
        </w:rPr>
        <w:t xml:space="preserve"> exercendo funções técnicas, comerciais, de gerencia, administração ou tomada de decisão (art. 9, da Lei 14.133/21). </w:t>
      </w:r>
    </w:p>
    <w:p w14:paraId="1760D916" w14:textId="78CB5C29" w:rsidR="002857BE" w:rsidRPr="002857BE" w:rsidRDefault="002857BE" w:rsidP="002857BE">
      <w:pPr>
        <w:pStyle w:val="PargrafodaLista"/>
        <w:numPr>
          <w:ilvl w:val="2"/>
          <w:numId w:val="10"/>
        </w:numPr>
        <w:ind w:left="0"/>
        <w:jc w:val="both"/>
        <w:rPr>
          <w:szCs w:val="22"/>
        </w:rPr>
      </w:pPr>
      <w:r>
        <w:rPr>
          <w:szCs w:val="22"/>
        </w:rPr>
        <w:t xml:space="preserve">c) </w:t>
      </w:r>
      <w:r w:rsidRPr="002857BE">
        <w:rPr>
          <w:szCs w:val="22"/>
        </w:rPr>
        <w:t xml:space="preserve">Declaração de que o licitante tomou conhecimento de todas as informações e das condições locais para o cumprimento das obrigações objeto da dispensa de licitação; </w:t>
      </w:r>
    </w:p>
    <w:p w14:paraId="7974D4FD" w14:textId="5C9BA94F" w:rsidR="002857BE" w:rsidRPr="002857BE" w:rsidRDefault="002857BE" w:rsidP="000353BA">
      <w:pPr>
        <w:pStyle w:val="PargrafodaLista"/>
        <w:numPr>
          <w:ilvl w:val="2"/>
          <w:numId w:val="10"/>
        </w:numPr>
        <w:ind w:left="0"/>
        <w:jc w:val="both"/>
        <w:rPr>
          <w:szCs w:val="22"/>
        </w:rPr>
      </w:pPr>
      <w:r w:rsidRPr="00336392">
        <w:rPr>
          <w:szCs w:val="22"/>
        </w:rPr>
        <w:t xml:space="preserve">d) </w:t>
      </w:r>
      <w:r w:rsidRPr="002857BE">
        <w:rPr>
          <w:szCs w:val="22"/>
        </w:rPr>
        <w:t>Declaração de que cumpre as exigências de reserva de cargos para pessoa com deficiência e para reabilitado da Previdência Social, previstas em lei e em outras normas específicas, conforme disciplina o inciso IV do art. 63 da Lei Federal nº 14.133/21</w:t>
      </w:r>
      <w:r w:rsidR="00336392">
        <w:rPr>
          <w:szCs w:val="22"/>
        </w:rPr>
        <w:t>.</w:t>
      </w:r>
    </w:p>
    <w:p w14:paraId="61D5BB74" w14:textId="77777777" w:rsidR="002857BE" w:rsidRPr="002857BE" w:rsidRDefault="002857BE" w:rsidP="002857BE">
      <w:pPr>
        <w:pStyle w:val="PargrafodaLista"/>
        <w:numPr>
          <w:ilvl w:val="2"/>
          <w:numId w:val="10"/>
        </w:numPr>
        <w:ind w:left="0"/>
        <w:jc w:val="both"/>
        <w:rPr>
          <w:szCs w:val="22"/>
        </w:rPr>
      </w:pPr>
    </w:p>
    <w:p w14:paraId="24D8FD86" w14:textId="77777777" w:rsidR="007015D2" w:rsidRPr="00A3092C" w:rsidRDefault="007015D2" w:rsidP="00A3092C">
      <w:pPr>
        <w:pStyle w:val="PargrafodaLista"/>
        <w:jc w:val="both"/>
        <w:rPr>
          <w:szCs w:val="22"/>
          <w:lang w:val="pt-PT"/>
        </w:rPr>
      </w:pPr>
    </w:p>
    <w:p w14:paraId="068F7A50" w14:textId="77777777" w:rsidR="00F93AAC" w:rsidRDefault="003339BD" w:rsidP="00F93AAC">
      <w:pPr>
        <w:jc w:val="both"/>
        <w:rPr>
          <w:b/>
          <w:bCs/>
          <w:color w:val="000000"/>
          <w:szCs w:val="22"/>
        </w:rPr>
      </w:pPr>
      <w:r w:rsidRPr="00A3092C">
        <w:rPr>
          <w:b/>
          <w:bCs/>
          <w:color w:val="000000"/>
          <w:szCs w:val="22"/>
        </w:rPr>
        <w:t>5. MODELO DE EXECUÇÃO DO OBJETO</w:t>
      </w:r>
      <w:bookmarkStart w:id="4" w:name="art6xxiiif"/>
      <w:bookmarkEnd w:id="4"/>
    </w:p>
    <w:p w14:paraId="38CC8477" w14:textId="77777777" w:rsidR="00F93AAC" w:rsidRDefault="00F93AAC" w:rsidP="00F93AAC">
      <w:pPr>
        <w:jc w:val="both"/>
        <w:rPr>
          <w:b/>
          <w:bCs/>
          <w:color w:val="000000"/>
          <w:szCs w:val="22"/>
        </w:rPr>
      </w:pPr>
    </w:p>
    <w:p w14:paraId="74CEA3E7" w14:textId="713A34AE" w:rsidR="000C0348" w:rsidRPr="00F93AAC" w:rsidRDefault="000C0348" w:rsidP="00F93AAC">
      <w:pPr>
        <w:jc w:val="both"/>
        <w:rPr>
          <w:b/>
          <w:bCs/>
          <w:color w:val="000000"/>
          <w:szCs w:val="22"/>
        </w:rPr>
      </w:pPr>
      <w:r w:rsidRPr="00A3092C">
        <w:rPr>
          <w:color w:val="000000"/>
          <w:szCs w:val="22"/>
        </w:rPr>
        <w:t xml:space="preserve">Os serviços </w:t>
      </w:r>
      <w:r w:rsidR="00F93AAC" w:rsidRPr="00A3092C">
        <w:rPr>
          <w:color w:val="000000"/>
          <w:szCs w:val="22"/>
        </w:rPr>
        <w:t>objeto</w:t>
      </w:r>
      <w:r w:rsidR="00E12362">
        <w:rPr>
          <w:color w:val="000000"/>
          <w:szCs w:val="22"/>
        </w:rPr>
        <w:t>s</w:t>
      </w:r>
      <w:r w:rsidR="00F93AAC" w:rsidRPr="00A3092C">
        <w:rPr>
          <w:color w:val="000000"/>
          <w:szCs w:val="22"/>
        </w:rPr>
        <w:t xml:space="preserve"> deste termo dever</w:t>
      </w:r>
      <w:r w:rsidR="00821D64">
        <w:rPr>
          <w:color w:val="000000"/>
          <w:szCs w:val="22"/>
        </w:rPr>
        <w:t>ão</w:t>
      </w:r>
      <w:r w:rsidR="007418F9" w:rsidRPr="00A3092C">
        <w:rPr>
          <w:color w:val="000000"/>
          <w:szCs w:val="22"/>
        </w:rPr>
        <w:t xml:space="preserve"> ser executados</w:t>
      </w:r>
      <w:r w:rsidR="00B31BFD" w:rsidRPr="00A3092C">
        <w:rPr>
          <w:color w:val="000000"/>
          <w:szCs w:val="22"/>
        </w:rPr>
        <w:t xml:space="preserve"> </w:t>
      </w:r>
      <w:r w:rsidR="00C313BF" w:rsidRPr="00A3092C">
        <w:rPr>
          <w:color w:val="000000"/>
          <w:szCs w:val="22"/>
        </w:rPr>
        <w:t xml:space="preserve">no período </w:t>
      </w:r>
      <w:r w:rsidR="009D54C3">
        <w:rPr>
          <w:color w:val="000000"/>
          <w:szCs w:val="22"/>
        </w:rPr>
        <w:t>um ano a contar da data da assinatura do contrato.</w:t>
      </w:r>
    </w:p>
    <w:p w14:paraId="7ACEDE7A" w14:textId="77777777" w:rsidR="000C0348" w:rsidRPr="00A3092C" w:rsidRDefault="000C0348" w:rsidP="00A3092C">
      <w:pPr>
        <w:pStyle w:val="NormalWeb"/>
        <w:spacing w:before="0" w:beforeAutospacing="0" w:after="0" w:afterAutospacing="0"/>
        <w:jc w:val="both"/>
        <w:rPr>
          <w:rFonts w:ascii="Arial" w:hAnsi="Arial" w:cs="Arial"/>
          <w:color w:val="000000"/>
          <w:sz w:val="22"/>
          <w:szCs w:val="22"/>
        </w:rPr>
      </w:pPr>
    </w:p>
    <w:p w14:paraId="69D0AE10" w14:textId="3672CEE7"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6. MODELO DE GESTÃO DO CONTRATO</w:t>
      </w:r>
    </w:p>
    <w:p w14:paraId="2B3B6F20" w14:textId="77777777" w:rsidR="003339BD" w:rsidRPr="00A3092C" w:rsidRDefault="003339BD" w:rsidP="00A3092C">
      <w:pPr>
        <w:pStyle w:val="NormalWeb"/>
        <w:spacing w:before="0" w:beforeAutospacing="0" w:after="0" w:afterAutospacing="0"/>
        <w:jc w:val="both"/>
        <w:rPr>
          <w:rFonts w:ascii="Arial" w:hAnsi="Arial" w:cs="Arial"/>
          <w:color w:val="000000"/>
          <w:sz w:val="22"/>
          <w:szCs w:val="22"/>
        </w:rPr>
      </w:pPr>
    </w:p>
    <w:p w14:paraId="18817178" w14:textId="77777777" w:rsidR="007418F9" w:rsidRPr="00A3092C" w:rsidRDefault="007418F9" w:rsidP="00A3092C">
      <w:pPr>
        <w:jc w:val="both"/>
        <w:rPr>
          <w:rFonts w:eastAsia="Arial"/>
          <w:color w:val="000000"/>
          <w:kern w:val="2"/>
          <w:szCs w:val="22"/>
          <w:lang w:eastAsia="pt-BR"/>
          <w14:ligatures w14:val="standardContextual"/>
        </w:rPr>
      </w:pPr>
      <w:bookmarkStart w:id="5" w:name="art6xxiiig"/>
      <w:bookmarkEnd w:id="5"/>
      <w:r w:rsidRPr="00A3092C">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A3092C" w:rsidRDefault="007418F9" w:rsidP="00A3092C">
      <w:pPr>
        <w:ind w:firstLine="708"/>
        <w:jc w:val="both"/>
        <w:rPr>
          <w:kern w:val="2"/>
          <w:szCs w:val="22"/>
          <w:lang w:eastAsia="pt-BR"/>
          <w14:ligatures w14:val="standardContextual"/>
        </w:rPr>
      </w:pPr>
      <w:r w:rsidRPr="00A3092C">
        <w:rPr>
          <w:kern w:val="2"/>
          <w:szCs w:val="22"/>
          <w:lang w:eastAsia="pt-BR"/>
          <w14:ligatures w14:val="standardContextual"/>
        </w:rPr>
        <w:lastRenderedPageBreak/>
        <w:t xml:space="preserve"> </w:t>
      </w:r>
    </w:p>
    <w:p w14:paraId="38EAD7F2" w14:textId="1EE3BEA8" w:rsidR="007418F9" w:rsidRDefault="007418F9" w:rsidP="00A3092C">
      <w:pPr>
        <w:jc w:val="both"/>
        <w:rPr>
          <w:kern w:val="2"/>
          <w:szCs w:val="22"/>
          <w:lang w:eastAsia="pt-BR"/>
          <w14:ligatures w14:val="standardContextual"/>
        </w:rPr>
      </w:pPr>
      <w:r w:rsidRPr="00A3092C">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2BBAB67" w14:textId="77777777" w:rsidR="009939DF" w:rsidRDefault="009939DF" w:rsidP="00A3092C">
      <w:pPr>
        <w:jc w:val="both"/>
        <w:rPr>
          <w:kern w:val="2"/>
          <w:szCs w:val="22"/>
          <w:lang w:eastAsia="pt-BR"/>
          <w14:ligatures w14:val="standardContextual"/>
        </w:rPr>
      </w:pPr>
    </w:p>
    <w:p w14:paraId="5AF7BCE4" w14:textId="77777777" w:rsidR="009939DF" w:rsidRPr="009939DF" w:rsidRDefault="009939DF" w:rsidP="009939DF">
      <w:pPr>
        <w:jc w:val="both"/>
        <w:rPr>
          <w:kern w:val="2"/>
          <w:szCs w:val="22"/>
          <w:lang w:eastAsia="pt-BR"/>
          <w14:ligatures w14:val="standardContextual"/>
        </w:rPr>
      </w:pPr>
      <w:r w:rsidRPr="009939DF">
        <w:rPr>
          <w:kern w:val="2"/>
          <w:szCs w:val="22"/>
          <w:lang w:eastAsia="pt-BR"/>
          <w14:ligatures w14:val="standardContextual"/>
        </w:rPr>
        <w:t>Dessa forma, a fiscalização do contrato ficará a cargo do Secretário de Administração, conforme portaria nº 049/2025 e a gestão será realizada pelo servidor designado pela Portaria nº 041/2025.</w:t>
      </w:r>
    </w:p>
    <w:p w14:paraId="6A730FB3" w14:textId="77777777" w:rsidR="009939DF" w:rsidRPr="00A3092C" w:rsidRDefault="009939DF" w:rsidP="00A3092C">
      <w:pPr>
        <w:jc w:val="both"/>
        <w:rPr>
          <w:kern w:val="2"/>
          <w:szCs w:val="22"/>
          <w:lang w:eastAsia="pt-BR"/>
          <w14:ligatures w14:val="standardContextual"/>
        </w:rPr>
      </w:pPr>
    </w:p>
    <w:p w14:paraId="0B0B0E5C" w14:textId="77777777" w:rsidR="003339BD" w:rsidRPr="00A3092C" w:rsidRDefault="003339BD" w:rsidP="00A3092C">
      <w:pPr>
        <w:pStyle w:val="NormalWeb"/>
        <w:spacing w:before="0" w:beforeAutospacing="0" w:after="0" w:afterAutospacing="0"/>
        <w:jc w:val="both"/>
        <w:rPr>
          <w:rFonts w:ascii="Arial" w:hAnsi="Arial" w:cs="Arial"/>
          <w:color w:val="000000"/>
          <w:sz w:val="22"/>
          <w:szCs w:val="22"/>
        </w:rPr>
      </w:pPr>
    </w:p>
    <w:p w14:paraId="31B64B95" w14:textId="21FC79D3" w:rsidR="0045094B"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7. CRITÉRIOS DE MEDIÇÃO E DE PAGAMENTO</w:t>
      </w:r>
    </w:p>
    <w:p w14:paraId="733FA464" w14:textId="344BE7AF" w:rsidR="00017EE4" w:rsidRDefault="00354625" w:rsidP="00A3092C">
      <w:pPr>
        <w:pStyle w:val="NormalWeb"/>
        <w:spacing w:before="0" w:beforeAutospacing="0" w:after="0" w:afterAutospacing="0"/>
        <w:jc w:val="both"/>
        <w:rPr>
          <w:rFonts w:ascii="Arial" w:hAnsi="Arial" w:cs="Arial"/>
          <w:color w:val="000000"/>
          <w:sz w:val="22"/>
          <w:szCs w:val="22"/>
        </w:rPr>
      </w:pPr>
      <w:bookmarkStart w:id="6" w:name="art6xxiiih"/>
      <w:bookmarkEnd w:id="6"/>
      <w:r>
        <w:rPr>
          <w:rFonts w:ascii="Arial" w:hAnsi="Arial" w:cs="Arial"/>
          <w:color w:val="000000"/>
          <w:sz w:val="22"/>
          <w:szCs w:val="22"/>
        </w:rPr>
        <w:t>Não haverá, pois o s</w:t>
      </w:r>
      <w:r w:rsidRPr="00354625">
        <w:rPr>
          <w:rFonts w:ascii="Arial" w:hAnsi="Arial" w:cs="Arial"/>
          <w:color w:val="000000"/>
          <w:sz w:val="22"/>
          <w:szCs w:val="22"/>
        </w:rPr>
        <w:t xml:space="preserve">istema não </w:t>
      </w:r>
      <w:r>
        <w:rPr>
          <w:rFonts w:ascii="Arial" w:hAnsi="Arial" w:cs="Arial"/>
          <w:color w:val="000000"/>
          <w:sz w:val="22"/>
          <w:szCs w:val="22"/>
        </w:rPr>
        <w:t xml:space="preserve">deverá ter </w:t>
      </w:r>
      <w:r w:rsidRPr="00354625">
        <w:rPr>
          <w:rFonts w:ascii="Arial" w:hAnsi="Arial" w:cs="Arial"/>
          <w:color w:val="000000"/>
          <w:sz w:val="22"/>
          <w:szCs w:val="22"/>
        </w:rPr>
        <w:t>custo para a Prefeitura</w:t>
      </w:r>
      <w:r>
        <w:rPr>
          <w:rFonts w:ascii="Arial" w:hAnsi="Arial" w:cs="Arial"/>
          <w:color w:val="000000"/>
          <w:sz w:val="22"/>
          <w:szCs w:val="22"/>
        </w:rPr>
        <w:t>.</w:t>
      </w:r>
    </w:p>
    <w:p w14:paraId="351EF2E2" w14:textId="77777777" w:rsidR="00354625" w:rsidRPr="00A3092C" w:rsidRDefault="00354625" w:rsidP="00A3092C">
      <w:pPr>
        <w:pStyle w:val="NormalWeb"/>
        <w:spacing w:before="0" w:beforeAutospacing="0" w:after="0" w:afterAutospacing="0"/>
        <w:jc w:val="both"/>
        <w:rPr>
          <w:rFonts w:ascii="Arial" w:hAnsi="Arial" w:cs="Arial"/>
          <w:color w:val="000000"/>
          <w:sz w:val="22"/>
          <w:szCs w:val="22"/>
        </w:rPr>
      </w:pPr>
    </w:p>
    <w:p w14:paraId="3C1DDD8F" w14:textId="700BB62C"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8. FORMA E CRITÉRIOS DE SELEÇÃO DO FORNECEDOR</w:t>
      </w:r>
      <w:r w:rsidR="00317E8C" w:rsidRPr="00A3092C">
        <w:rPr>
          <w:rFonts w:ascii="Arial" w:hAnsi="Arial" w:cs="Arial"/>
          <w:b/>
          <w:bCs/>
          <w:color w:val="000000"/>
          <w:sz w:val="22"/>
          <w:szCs w:val="22"/>
        </w:rPr>
        <w:t>/PRESTADOR DE SERVIÇO</w:t>
      </w:r>
      <w:bookmarkStart w:id="7" w:name="art6xxiii.i"/>
      <w:bookmarkEnd w:id="7"/>
    </w:p>
    <w:p w14:paraId="7466649D" w14:textId="34FF4EA3" w:rsidR="003339BD" w:rsidRPr="00A3092C" w:rsidRDefault="00317E8C"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Conforme disposto no item 4, o futuro contratado será selecionado mediante processo </w:t>
      </w:r>
      <w:r w:rsidR="003A55DD" w:rsidRPr="00A3092C">
        <w:rPr>
          <w:rFonts w:ascii="Arial" w:hAnsi="Arial" w:cs="Arial"/>
          <w:color w:val="000000"/>
          <w:sz w:val="22"/>
          <w:szCs w:val="22"/>
        </w:rPr>
        <w:t>de Dispensa de Licitação</w:t>
      </w:r>
      <w:r w:rsidR="00E830EB" w:rsidRPr="00A3092C">
        <w:rPr>
          <w:rFonts w:ascii="Arial" w:hAnsi="Arial" w:cs="Arial"/>
          <w:color w:val="000000"/>
          <w:sz w:val="22"/>
          <w:szCs w:val="22"/>
        </w:rPr>
        <w:t>, enquadrando-se nos</w:t>
      </w:r>
      <w:r w:rsidR="00944B76" w:rsidRPr="00A3092C">
        <w:rPr>
          <w:rFonts w:ascii="Arial" w:hAnsi="Arial" w:cs="Arial"/>
          <w:color w:val="000000"/>
          <w:sz w:val="22"/>
          <w:szCs w:val="22"/>
        </w:rPr>
        <w:t xml:space="preserve"> limites do Artigo 75, Inciso I</w:t>
      </w:r>
      <w:r w:rsidR="008D7A04">
        <w:rPr>
          <w:rFonts w:ascii="Arial" w:hAnsi="Arial" w:cs="Arial"/>
          <w:color w:val="000000"/>
          <w:sz w:val="22"/>
          <w:szCs w:val="22"/>
        </w:rPr>
        <w:t>I</w:t>
      </w:r>
      <w:r w:rsidR="00E830EB" w:rsidRPr="00A3092C">
        <w:rPr>
          <w:rFonts w:ascii="Arial" w:hAnsi="Arial" w:cs="Arial"/>
          <w:color w:val="000000"/>
          <w:sz w:val="22"/>
          <w:szCs w:val="22"/>
        </w:rPr>
        <w:t xml:space="preserve"> da Lei Federal 14.133/2021.</w:t>
      </w:r>
    </w:p>
    <w:p w14:paraId="142B665A" w14:textId="77777777" w:rsidR="00CF225A" w:rsidRPr="00A3092C" w:rsidRDefault="00CF225A" w:rsidP="00A3092C">
      <w:pPr>
        <w:pStyle w:val="NormalWeb"/>
        <w:spacing w:before="0" w:beforeAutospacing="0" w:after="0" w:afterAutospacing="0"/>
        <w:jc w:val="both"/>
        <w:rPr>
          <w:rFonts w:ascii="Arial" w:hAnsi="Arial" w:cs="Arial"/>
          <w:color w:val="000000"/>
          <w:sz w:val="22"/>
          <w:szCs w:val="22"/>
        </w:rPr>
      </w:pPr>
    </w:p>
    <w:p w14:paraId="27B33F02" w14:textId="1B00E1A6"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9. ESTIMATIVA DO VALOR DA CONTRATAÇÃO</w:t>
      </w:r>
      <w:r w:rsidR="00354625">
        <w:rPr>
          <w:rFonts w:ascii="Arial" w:hAnsi="Arial" w:cs="Arial"/>
          <w:b/>
          <w:bCs/>
          <w:color w:val="000000"/>
          <w:sz w:val="22"/>
          <w:szCs w:val="22"/>
        </w:rPr>
        <w:t xml:space="preserve"> E ADEQUAÇÃO ORÇAMENTÁRIA</w:t>
      </w:r>
    </w:p>
    <w:p w14:paraId="5BF4EAF1" w14:textId="0F3596D8" w:rsidR="00DE4434" w:rsidRDefault="00354625" w:rsidP="00A3092C">
      <w:pPr>
        <w:pStyle w:val="NormalWeb"/>
        <w:spacing w:before="0" w:beforeAutospacing="0" w:after="0" w:afterAutospacing="0"/>
        <w:jc w:val="both"/>
        <w:rPr>
          <w:rFonts w:ascii="Arial" w:hAnsi="Arial" w:cs="Arial"/>
          <w:color w:val="000000"/>
          <w:sz w:val="22"/>
          <w:szCs w:val="22"/>
        </w:rPr>
      </w:pPr>
      <w:bookmarkStart w:id="8" w:name="art6xxiiij"/>
      <w:bookmarkEnd w:id="8"/>
      <w:r>
        <w:rPr>
          <w:rFonts w:ascii="Arial" w:hAnsi="Arial" w:cs="Arial"/>
          <w:color w:val="000000"/>
          <w:sz w:val="22"/>
          <w:szCs w:val="22"/>
        </w:rPr>
        <w:t xml:space="preserve">Sem qualquer ônus ao Município. </w:t>
      </w:r>
    </w:p>
    <w:p w14:paraId="18624C02" w14:textId="77777777" w:rsidR="00354625" w:rsidRPr="00354625" w:rsidRDefault="00354625" w:rsidP="00A3092C">
      <w:pPr>
        <w:pStyle w:val="NormalWeb"/>
        <w:spacing w:before="0" w:beforeAutospacing="0" w:after="0" w:afterAutospacing="0"/>
        <w:jc w:val="both"/>
        <w:rPr>
          <w:rFonts w:ascii="Arial" w:eastAsia="Arial" w:hAnsi="Arial" w:cs="Arial"/>
          <w:kern w:val="2"/>
          <w:sz w:val="22"/>
          <w:szCs w:val="22"/>
          <w14:ligatures w14:val="standardContextual"/>
        </w:rPr>
      </w:pPr>
    </w:p>
    <w:p w14:paraId="353C652D" w14:textId="77777777" w:rsidR="009744C0" w:rsidRPr="009E0313" w:rsidRDefault="009744C0" w:rsidP="00F47315">
      <w:pPr>
        <w:jc w:val="center"/>
        <w:rPr>
          <w:szCs w:val="22"/>
        </w:rPr>
      </w:pPr>
    </w:p>
    <w:p w14:paraId="6E55E4CF" w14:textId="7B64948F" w:rsidR="00AF43CC" w:rsidRPr="009E0313" w:rsidRDefault="00584795" w:rsidP="00F47315">
      <w:pPr>
        <w:jc w:val="center"/>
        <w:rPr>
          <w:szCs w:val="22"/>
        </w:rPr>
      </w:pPr>
      <w:r w:rsidRPr="009E0313">
        <w:rPr>
          <w:szCs w:val="22"/>
        </w:rPr>
        <w:t xml:space="preserve">Miraguaí – RS, </w:t>
      </w:r>
      <w:r w:rsidR="00354625">
        <w:rPr>
          <w:szCs w:val="22"/>
        </w:rPr>
        <w:t>28</w:t>
      </w:r>
      <w:r w:rsidRPr="009E0313">
        <w:rPr>
          <w:szCs w:val="22"/>
        </w:rPr>
        <w:t xml:space="preserve"> de </w:t>
      </w:r>
      <w:r w:rsidR="00354625">
        <w:rPr>
          <w:szCs w:val="22"/>
        </w:rPr>
        <w:t>março</w:t>
      </w:r>
      <w:r w:rsidRPr="009E0313">
        <w:rPr>
          <w:szCs w:val="22"/>
        </w:rPr>
        <w:t xml:space="preserve"> de 202</w:t>
      </w:r>
      <w:r w:rsidR="00DA6739" w:rsidRPr="009E0313">
        <w:rPr>
          <w:szCs w:val="22"/>
        </w:rPr>
        <w:t>5</w:t>
      </w:r>
      <w:r w:rsidRPr="009E0313">
        <w:rPr>
          <w:szCs w:val="22"/>
        </w:rPr>
        <w:t>.</w:t>
      </w:r>
    </w:p>
    <w:p w14:paraId="5360BE06" w14:textId="77777777" w:rsidR="00FB0375" w:rsidRPr="009E0313" w:rsidRDefault="00FB0375" w:rsidP="00F47315">
      <w:pPr>
        <w:jc w:val="center"/>
        <w:rPr>
          <w:szCs w:val="22"/>
        </w:rPr>
      </w:pPr>
    </w:p>
    <w:p w14:paraId="697AF54D" w14:textId="77777777" w:rsidR="00B31BFD" w:rsidRPr="009E0313" w:rsidRDefault="00B31BFD" w:rsidP="00F47315">
      <w:pPr>
        <w:jc w:val="center"/>
        <w:rPr>
          <w:szCs w:val="22"/>
        </w:rPr>
      </w:pPr>
    </w:p>
    <w:p w14:paraId="70CBF8EF" w14:textId="5C19D8FE" w:rsidR="00766056" w:rsidRPr="009E0313" w:rsidRDefault="00766056" w:rsidP="00F47315">
      <w:pPr>
        <w:jc w:val="center"/>
        <w:rPr>
          <w:szCs w:val="22"/>
        </w:rPr>
      </w:pPr>
      <w:r w:rsidRPr="009E0313">
        <w:rPr>
          <w:szCs w:val="22"/>
        </w:rPr>
        <w:t>______________________________</w:t>
      </w:r>
    </w:p>
    <w:p w14:paraId="333289B5" w14:textId="469D1101" w:rsidR="009744C0" w:rsidRPr="009E0313" w:rsidRDefault="00354625" w:rsidP="00F47315">
      <w:pPr>
        <w:jc w:val="center"/>
        <w:rPr>
          <w:b/>
          <w:bCs/>
          <w:i/>
          <w:iCs/>
          <w:sz w:val="24"/>
          <w:szCs w:val="24"/>
        </w:rPr>
      </w:pPr>
      <w:r>
        <w:rPr>
          <w:b/>
          <w:bCs/>
          <w:i/>
          <w:iCs/>
          <w:sz w:val="24"/>
          <w:szCs w:val="24"/>
        </w:rPr>
        <w:t>Flavio Venzo</w:t>
      </w:r>
    </w:p>
    <w:p w14:paraId="65C569D1" w14:textId="3AC5F5B9" w:rsidR="007563C9" w:rsidRDefault="007563C9" w:rsidP="00F47315">
      <w:pPr>
        <w:jc w:val="center"/>
        <w:rPr>
          <w:b/>
          <w:bCs/>
          <w:i/>
          <w:iCs/>
          <w:szCs w:val="22"/>
        </w:rPr>
      </w:pPr>
      <w:r w:rsidRPr="009E0313">
        <w:rPr>
          <w:b/>
          <w:bCs/>
          <w:i/>
          <w:iCs/>
          <w:szCs w:val="22"/>
        </w:rPr>
        <w:t xml:space="preserve">Sec. </w:t>
      </w:r>
      <w:r w:rsidR="00293484" w:rsidRPr="009E0313">
        <w:rPr>
          <w:b/>
          <w:bCs/>
          <w:i/>
          <w:iCs/>
          <w:szCs w:val="22"/>
        </w:rPr>
        <w:t>Municipal d</w:t>
      </w:r>
      <w:r w:rsidRPr="009E0313">
        <w:rPr>
          <w:b/>
          <w:bCs/>
          <w:i/>
          <w:iCs/>
          <w:szCs w:val="22"/>
        </w:rPr>
        <w:t xml:space="preserve">e </w:t>
      </w:r>
      <w:r w:rsidR="00354625">
        <w:rPr>
          <w:b/>
          <w:bCs/>
          <w:i/>
          <w:iCs/>
          <w:szCs w:val="22"/>
        </w:rPr>
        <w:t>Administração</w:t>
      </w:r>
    </w:p>
    <w:p w14:paraId="3180DE44" w14:textId="10FE507D" w:rsidR="00566533" w:rsidRDefault="00566533" w:rsidP="00566533">
      <w:pPr>
        <w:rPr>
          <w:i/>
          <w:iCs/>
          <w:szCs w:val="22"/>
        </w:rPr>
      </w:pPr>
    </w:p>
    <w:p w14:paraId="01BA5A0D" w14:textId="77777777" w:rsidR="00566533" w:rsidRDefault="00566533" w:rsidP="00F47315">
      <w:pPr>
        <w:jc w:val="center"/>
        <w:rPr>
          <w:i/>
          <w:iCs/>
          <w:szCs w:val="22"/>
        </w:rPr>
      </w:pPr>
    </w:p>
    <w:sectPr w:rsidR="00566533"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6B1E6" w14:textId="77777777" w:rsidR="00580488" w:rsidRDefault="00580488">
      <w:r>
        <w:separator/>
      </w:r>
    </w:p>
  </w:endnote>
  <w:endnote w:type="continuationSeparator" w:id="0">
    <w:p w14:paraId="72F27949" w14:textId="77777777" w:rsidR="00580488" w:rsidRDefault="0058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D222B1">
          <w:rPr>
            <w:noProof/>
          </w:rPr>
          <w:t>2</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8F8A" w14:textId="77777777" w:rsidR="00580488" w:rsidRDefault="00580488">
      <w:r>
        <w:separator/>
      </w:r>
    </w:p>
  </w:footnote>
  <w:footnote w:type="continuationSeparator" w:id="0">
    <w:p w14:paraId="28D487F5" w14:textId="77777777" w:rsidR="00580488" w:rsidRDefault="00580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6825C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3D7163D"/>
    <w:multiLevelType w:val="hybridMultilevel"/>
    <w:tmpl w:val="BED0DE8C"/>
    <w:lvl w:ilvl="0" w:tplc="37B46AF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3238477">
    <w:abstractNumId w:val="1"/>
  </w:num>
  <w:num w:numId="2" w16cid:durableId="942147779">
    <w:abstractNumId w:val="2"/>
  </w:num>
  <w:num w:numId="3" w16cid:durableId="1998418665">
    <w:abstractNumId w:val="7"/>
  </w:num>
  <w:num w:numId="4" w16cid:durableId="53234918">
    <w:abstractNumId w:val="3"/>
  </w:num>
  <w:num w:numId="5" w16cid:durableId="1331103225">
    <w:abstractNumId w:val="6"/>
  </w:num>
  <w:num w:numId="6" w16cid:durableId="518158161">
    <w:abstractNumId w:val="5"/>
  </w:num>
  <w:num w:numId="7" w16cid:durableId="2010017030">
    <w:abstractNumId w:val="9"/>
  </w:num>
  <w:num w:numId="8" w16cid:durableId="163129070">
    <w:abstractNumId w:val="4"/>
  </w:num>
  <w:num w:numId="9" w16cid:durableId="1194688482">
    <w:abstractNumId w:val="8"/>
  </w:num>
  <w:num w:numId="10" w16cid:durableId="210688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3502"/>
    <w:rsid w:val="00013EC2"/>
    <w:rsid w:val="00017EE4"/>
    <w:rsid w:val="00020977"/>
    <w:rsid w:val="0002783F"/>
    <w:rsid w:val="00034C98"/>
    <w:rsid w:val="00037727"/>
    <w:rsid w:val="00053E01"/>
    <w:rsid w:val="00054D2D"/>
    <w:rsid w:val="00056018"/>
    <w:rsid w:val="000579E5"/>
    <w:rsid w:val="000632BB"/>
    <w:rsid w:val="00071ED4"/>
    <w:rsid w:val="00073C0E"/>
    <w:rsid w:val="00076E4E"/>
    <w:rsid w:val="00081D3B"/>
    <w:rsid w:val="000921AB"/>
    <w:rsid w:val="00092A81"/>
    <w:rsid w:val="000B091B"/>
    <w:rsid w:val="000B3422"/>
    <w:rsid w:val="000B4D10"/>
    <w:rsid w:val="000C0348"/>
    <w:rsid w:val="000C0B7D"/>
    <w:rsid w:val="000C7C30"/>
    <w:rsid w:val="000E417E"/>
    <w:rsid w:val="00105502"/>
    <w:rsid w:val="00106DA3"/>
    <w:rsid w:val="00112C7B"/>
    <w:rsid w:val="001145A4"/>
    <w:rsid w:val="00115A06"/>
    <w:rsid w:val="00115E99"/>
    <w:rsid w:val="00120E0C"/>
    <w:rsid w:val="001225C3"/>
    <w:rsid w:val="00123E80"/>
    <w:rsid w:val="00135D0E"/>
    <w:rsid w:val="001535AE"/>
    <w:rsid w:val="0015727E"/>
    <w:rsid w:val="0016054F"/>
    <w:rsid w:val="00170234"/>
    <w:rsid w:val="0018150E"/>
    <w:rsid w:val="00181FE2"/>
    <w:rsid w:val="001836F5"/>
    <w:rsid w:val="00192653"/>
    <w:rsid w:val="0019568D"/>
    <w:rsid w:val="001B124B"/>
    <w:rsid w:val="001C3A0F"/>
    <w:rsid w:val="001D16D4"/>
    <w:rsid w:val="001D4F88"/>
    <w:rsid w:val="00203C09"/>
    <w:rsid w:val="0020551E"/>
    <w:rsid w:val="00231F44"/>
    <w:rsid w:val="002345E1"/>
    <w:rsid w:val="0024029F"/>
    <w:rsid w:val="00241818"/>
    <w:rsid w:val="0024323B"/>
    <w:rsid w:val="00247EDE"/>
    <w:rsid w:val="00257E37"/>
    <w:rsid w:val="002754A6"/>
    <w:rsid w:val="002857BE"/>
    <w:rsid w:val="0028692C"/>
    <w:rsid w:val="00293484"/>
    <w:rsid w:val="002B1997"/>
    <w:rsid w:val="002B3B55"/>
    <w:rsid w:val="002D034E"/>
    <w:rsid w:val="002D163D"/>
    <w:rsid w:val="002D5F07"/>
    <w:rsid w:val="002F1E48"/>
    <w:rsid w:val="002F26B5"/>
    <w:rsid w:val="003019F4"/>
    <w:rsid w:val="00304421"/>
    <w:rsid w:val="003071B2"/>
    <w:rsid w:val="00312632"/>
    <w:rsid w:val="00317E8C"/>
    <w:rsid w:val="00322D62"/>
    <w:rsid w:val="003323D2"/>
    <w:rsid w:val="003339BD"/>
    <w:rsid w:val="00334AD0"/>
    <w:rsid w:val="0033543E"/>
    <w:rsid w:val="0033619B"/>
    <w:rsid w:val="00336392"/>
    <w:rsid w:val="00343133"/>
    <w:rsid w:val="00354625"/>
    <w:rsid w:val="00357F2C"/>
    <w:rsid w:val="00360953"/>
    <w:rsid w:val="0037226D"/>
    <w:rsid w:val="003772E6"/>
    <w:rsid w:val="0037799F"/>
    <w:rsid w:val="00387AA6"/>
    <w:rsid w:val="003A1A5C"/>
    <w:rsid w:val="003A55DD"/>
    <w:rsid w:val="003B677C"/>
    <w:rsid w:val="003C1C07"/>
    <w:rsid w:val="003D2016"/>
    <w:rsid w:val="003D4B43"/>
    <w:rsid w:val="003D59C6"/>
    <w:rsid w:val="003E19DA"/>
    <w:rsid w:val="003F372D"/>
    <w:rsid w:val="00401BA4"/>
    <w:rsid w:val="00401C3A"/>
    <w:rsid w:val="00410ADF"/>
    <w:rsid w:val="00413681"/>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B6F7C"/>
    <w:rsid w:val="004C072E"/>
    <w:rsid w:val="004C2A2E"/>
    <w:rsid w:val="004C7DF5"/>
    <w:rsid w:val="004D14A5"/>
    <w:rsid w:val="004D4E67"/>
    <w:rsid w:val="004D675A"/>
    <w:rsid w:val="004D6DBE"/>
    <w:rsid w:val="004D72FC"/>
    <w:rsid w:val="004E1BF0"/>
    <w:rsid w:val="004E4F74"/>
    <w:rsid w:val="00502E0D"/>
    <w:rsid w:val="00507514"/>
    <w:rsid w:val="00513513"/>
    <w:rsid w:val="00520F9B"/>
    <w:rsid w:val="005241FD"/>
    <w:rsid w:val="005337F0"/>
    <w:rsid w:val="00533B87"/>
    <w:rsid w:val="00533FB6"/>
    <w:rsid w:val="00535E75"/>
    <w:rsid w:val="0054210A"/>
    <w:rsid w:val="005437B2"/>
    <w:rsid w:val="0055235A"/>
    <w:rsid w:val="005643B5"/>
    <w:rsid w:val="00566533"/>
    <w:rsid w:val="00571991"/>
    <w:rsid w:val="00571FEB"/>
    <w:rsid w:val="00580488"/>
    <w:rsid w:val="00581217"/>
    <w:rsid w:val="00584795"/>
    <w:rsid w:val="00590B3B"/>
    <w:rsid w:val="00592EA8"/>
    <w:rsid w:val="005A1890"/>
    <w:rsid w:val="005A2613"/>
    <w:rsid w:val="005A7BCE"/>
    <w:rsid w:val="005B1006"/>
    <w:rsid w:val="005C0965"/>
    <w:rsid w:val="005C2414"/>
    <w:rsid w:val="005D0A15"/>
    <w:rsid w:val="005D1434"/>
    <w:rsid w:val="005E4757"/>
    <w:rsid w:val="005F4B9E"/>
    <w:rsid w:val="0060287D"/>
    <w:rsid w:val="00603115"/>
    <w:rsid w:val="00613399"/>
    <w:rsid w:val="00614490"/>
    <w:rsid w:val="0061671D"/>
    <w:rsid w:val="00620EED"/>
    <w:rsid w:val="006212C8"/>
    <w:rsid w:val="00627A6A"/>
    <w:rsid w:val="00630C8F"/>
    <w:rsid w:val="00635162"/>
    <w:rsid w:val="0063683E"/>
    <w:rsid w:val="006452FA"/>
    <w:rsid w:val="00645DCB"/>
    <w:rsid w:val="006632EC"/>
    <w:rsid w:val="00686EA3"/>
    <w:rsid w:val="006C3941"/>
    <w:rsid w:val="006C78F7"/>
    <w:rsid w:val="006D06E4"/>
    <w:rsid w:val="006E0543"/>
    <w:rsid w:val="006E29C6"/>
    <w:rsid w:val="006F13FA"/>
    <w:rsid w:val="006F2139"/>
    <w:rsid w:val="006F7A58"/>
    <w:rsid w:val="007015D2"/>
    <w:rsid w:val="00706FCD"/>
    <w:rsid w:val="00712342"/>
    <w:rsid w:val="00720D03"/>
    <w:rsid w:val="00720FDF"/>
    <w:rsid w:val="00726AAE"/>
    <w:rsid w:val="00732F1B"/>
    <w:rsid w:val="00736BB3"/>
    <w:rsid w:val="0074088D"/>
    <w:rsid w:val="007418F9"/>
    <w:rsid w:val="00744451"/>
    <w:rsid w:val="00746DA5"/>
    <w:rsid w:val="0074738C"/>
    <w:rsid w:val="007563C9"/>
    <w:rsid w:val="00757551"/>
    <w:rsid w:val="0076178F"/>
    <w:rsid w:val="00766056"/>
    <w:rsid w:val="00770CB0"/>
    <w:rsid w:val="00774485"/>
    <w:rsid w:val="007A019D"/>
    <w:rsid w:val="007A2101"/>
    <w:rsid w:val="007A5E07"/>
    <w:rsid w:val="007A7CEA"/>
    <w:rsid w:val="007C0E10"/>
    <w:rsid w:val="007D1EC9"/>
    <w:rsid w:val="007D3A9D"/>
    <w:rsid w:val="007D76A1"/>
    <w:rsid w:val="007E7737"/>
    <w:rsid w:val="007F6228"/>
    <w:rsid w:val="00813C3A"/>
    <w:rsid w:val="0081748B"/>
    <w:rsid w:val="00821D64"/>
    <w:rsid w:val="00823732"/>
    <w:rsid w:val="00825E47"/>
    <w:rsid w:val="0083187F"/>
    <w:rsid w:val="00833D8E"/>
    <w:rsid w:val="00855A5B"/>
    <w:rsid w:val="008709B2"/>
    <w:rsid w:val="00881C74"/>
    <w:rsid w:val="0088253E"/>
    <w:rsid w:val="00886A7A"/>
    <w:rsid w:val="0089125B"/>
    <w:rsid w:val="00893E75"/>
    <w:rsid w:val="00896676"/>
    <w:rsid w:val="0089786B"/>
    <w:rsid w:val="008A67D3"/>
    <w:rsid w:val="008B16F0"/>
    <w:rsid w:val="008B398A"/>
    <w:rsid w:val="008C23C6"/>
    <w:rsid w:val="008C4775"/>
    <w:rsid w:val="008D3A67"/>
    <w:rsid w:val="008D7A04"/>
    <w:rsid w:val="008F3C7B"/>
    <w:rsid w:val="008F4385"/>
    <w:rsid w:val="00901B56"/>
    <w:rsid w:val="009057D3"/>
    <w:rsid w:val="0090749C"/>
    <w:rsid w:val="009103C4"/>
    <w:rsid w:val="00917447"/>
    <w:rsid w:val="00933A18"/>
    <w:rsid w:val="00934C46"/>
    <w:rsid w:val="00936313"/>
    <w:rsid w:val="00944B76"/>
    <w:rsid w:val="00946011"/>
    <w:rsid w:val="009538DB"/>
    <w:rsid w:val="009600DD"/>
    <w:rsid w:val="0096168C"/>
    <w:rsid w:val="0096624A"/>
    <w:rsid w:val="009744C0"/>
    <w:rsid w:val="00975801"/>
    <w:rsid w:val="009927AC"/>
    <w:rsid w:val="009939DF"/>
    <w:rsid w:val="009966BE"/>
    <w:rsid w:val="009B2788"/>
    <w:rsid w:val="009C26E9"/>
    <w:rsid w:val="009C3170"/>
    <w:rsid w:val="009C5BC6"/>
    <w:rsid w:val="009D0FC5"/>
    <w:rsid w:val="009D1080"/>
    <w:rsid w:val="009D48B5"/>
    <w:rsid w:val="009D54C3"/>
    <w:rsid w:val="009E0313"/>
    <w:rsid w:val="009E2535"/>
    <w:rsid w:val="009E677C"/>
    <w:rsid w:val="009F5767"/>
    <w:rsid w:val="00A04BBC"/>
    <w:rsid w:val="00A062B4"/>
    <w:rsid w:val="00A10C77"/>
    <w:rsid w:val="00A14341"/>
    <w:rsid w:val="00A17AB4"/>
    <w:rsid w:val="00A21CB3"/>
    <w:rsid w:val="00A25301"/>
    <w:rsid w:val="00A3092C"/>
    <w:rsid w:val="00A41F1E"/>
    <w:rsid w:val="00A50911"/>
    <w:rsid w:val="00A52D48"/>
    <w:rsid w:val="00A6153D"/>
    <w:rsid w:val="00A82DB3"/>
    <w:rsid w:val="00A94C95"/>
    <w:rsid w:val="00A96191"/>
    <w:rsid w:val="00AA1058"/>
    <w:rsid w:val="00AA5971"/>
    <w:rsid w:val="00AA7C51"/>
    <w:rsid w:val="00AB0808"/>
    <w:rsid w:val="00AC4E37"/>
    <w:rsid w:val="00AC69E9"/>
    <w:rsid w:val="00AC6DE8"/>
    <w:rsid w:val="00AE3554"/>
    <w:rsid w:val="00AE66AB"/>
    <w:rsid w:val="00AF43CC"/>
    <w:rsid w:val="00AF4C6C"/>
    <w:rsid w:val="00B0143C"/>
    <w:rsid w:val="00B04BBE"/>
    <w:rsid w:val="00B1151E"/>
    <w:rsid w:val="00B158A8"/>
    <w:rsid w:val="00B306B2"/>
    <w:rsid w:val="00B31BFD"/>
    <w:rsid w:val="00B33E44"/>
    <w:rsid w:val="00B41026"/>
    <w:rsid w:val="00B44F41"/>
    <w:rsid w:val="00B82CB8"/>
    <w:rsid w:val="00B96321"/>
    <w:rsid w:val="00B96D5C"/>
    <w:rsid w:val="00BA702C"/>
    <w:rsid w:val="00BA7EC0"/>
    <w:rsid w:val="00BB625B"/>
    <w:rsid w:val="00BC6F52"/>
    <w:rsid w:val="00BE45B5"/>
    <w:rsid w:val="00BE4AAD"/>
    <w:rsid w:val="00BF288C"/>
    <w:rsid w:val="00C05ADB"/>
    <w:rsid w:val="00C117BA"/>
    <w:rsid w:val="00C13492"/>
    <w:rsid w:val="00C1565E"/>
    <w:rsid w:val="00C17098"/>
    <w:rsid w:val="00C1741E"/>
    <w:rsid w:val="00C238D7"/>
    <w:rsid w:val="00C313BF"/>
    <w:rsid w:val="00C31B32"/>
    <w:rsid w:val="00C4112F"/>
    <w:rsid w:val="00C546BA"/>
    <w:rsid w:val="00C64969"/>
    <w:rsid w:val="00C742D1"/>
    <w:rsid w:val="00C74D0B"/>
    <w:rsid w:val="00C7783A"/>
    <w:rsid w:val="00C80474"/>
    <w:rsid w:val="00C829DF"/>
    <w:rsid w:val="00C90F73"/>
    <w:rsid w:val="00C946DE"/>
    <w:rsid w:val="00C949F0"/>
    <w:rsid w:val="00C94E71"/>
    <w:rsid w:val="00C96ABB"/>
    <w:rsid w:val="00CA1144"/>
    <w:rsid w:val="00CB394A"/>
    <w:rsid w:val="00CB6315"/>
    <w:rsid w:val="00CC16CF"/>
    <w:rsid w:val="00CC37BB"/>
    <w:rsid w:val="00CC6C90"/>
    <w:rsid w:val="00CD1323"/>
    <w:rsid w:val="00CD2936"/>
    <w:rsid w:val="00CD642D"/>
    <w:rsid w:val="00CD7855"/>
    <w:rsid w:val="00CE2C30"/>
    <w:rsid w:val="00CF0C1D"/>
    <w:rsid w:val="00CF225A"/>
    <w:rsid w:val="00D008B8"/>
    <w:rsid w:val="00D16074"/>
    <w:rsid w:val="00D222B1"/>
    <w:rsid w:val="00D302A9"/>
    <w:rsid w:val="00D31BAD"/>
    <w:rsid w:val="00D3319B"/>
    <w:rsid w:val="00D4258D"/>
    <w:rsid w:val="00D44CBC"/>
    <w:rsid w:val="00D452AD"/>
    <w:rsid w:val="00D46563"/>
    <w:rsid w:val="00D50ACD"/>
    <w:rsid w:val="00D6645D"/>
    <w:rsid w:val="00D66959"/>
    <w:rsid w:val="00D7410F"/>
    <w:rsid w:val="00D75ECB"/>
    <w:rsid w:val="00D77493"/>
    <w:rsid w:val="00D94C4F"/>
    <w:rsid w:val="00DA1885"/>
    <w:rsid w:val="00DA63B7"/>
    <w:rsid w:val="00DA6739"/>
    <w:rsid w:val="00DA7412"/>
    <w:rsid w:val="00DB70C9"/>
    <w:rsid w:val="00DC018A"/>
    <w:rsid w:val="00DC1DF3"/>
    <w:rsid w:val="00DD01B8"/>
    <w:rsid w:val="00DE0B44"/>
    <w:rsid w:val="00DE34B5"/>
    <w:rsid w:val="00DE3DC8"/>
    <w:rsid w:val="00DE4434"/>
    <w:rsid w:val="00DE4AB0"/>
    <w:rsid w:val="00DE5913"/>
    <w:rsid w:val="00DF17E5"/>
    <w:rsid w:val="00DF6735"/>
    <w:rsid w:val="00DF6BD3"/>
    <w:rsid w:val="00DF7B37"/>
    <w:rsid w:val="00E07291"/>
    <w:rsid w:val="00E100BA"/>
    <w:rsid w:val="00E12362"/>
    <w:rsid w:val="00E23A28"/>
    <w:rsid w:val="00E33A43"/>
    <w:rsid w:val="00E404B4"/>
    <w:rsid w:val="00E40AD7"/>
    <w:rsid w:val="00E55CB8"/>
    <w:rsid w:val="00E569FF"/>
    <w:rsid w:val="00E56A69"/>
    <w:rsid w:val="00E60B44"/>
    <w:rsid w:val="00E614A6"/>
    <w:rsid w:val="00E63DFF"/>
    <w:rsid w:val="00E705CB"/>
    <w:rsid w:val="00E7224F"/>
    <w:rsid w:val="00E73B53"/>
    <w:rsid w:val="00E74498"/>
    <w:rsid w:val="00E80693"/>
    <w:rsid w:val="00E830EB"/>
    <w:rsid w:val="00E9280A"/>
    <w:rsid w:val="00EA57E0"/>
    <w:rsid w:val="00EB0EA8"/>
    <w:rsid w:val="00EB12F8"/>
    <w:rsid w:val="00EB3014"/>
    <w:rsid w:val="00EB3414"/>
    <w:rsid w:val="00EB5414"/>
    <w:rsid w:val="00ED46A1"/>
    <w:rsid w:val="00EE2362"/>
    <w:rsid w:val="00EE6E3D"/>
    <w:rsid w:val="00EE774F"/>
    <w:rsid w:val="00EE7A0B"/>
    <w:rsid w:val="00EF2F3C"/>
    <w:rsid w:val="00EF3A01"/>
    <w:rsid w:val="00EF7DFF"/>
    <w:rsid w:val="00F04BBE"/>
    <w:rsid w:val="00F07779"/>
    <w:rsid w:val="00F10A7D"/>
    <w:rsid w:val="00F178E2"/>
    <w:rsid w:val="00F17BB8"/>
    <w:rsid w:val="00F246DD"/>
    <w:rsid w:val="00F3482A"/>
    <w:rsid w:val="00F47315"/>
    <w:rsid w:val="00F4790B"/>
    <w:rsid w:val="00F50A45"/>
    <w:rsid w:val="00F56601"/>
    <w:rsid w:val="00F619A0"/>
    <w:rsid w:val="00F62B2E"/>
    <w:rsid w:val="00F62C01"/>
    <w:rsid w:val="00F719E5"/>
    <w:rsid w:val="00F74086"/>
    <w:rsid w:val="00F778AA"/>
    <w:rsid w:val="00F81D43"/>
    <w:rsid w:val="00F85FBD"/>
    <w:rsid w:val="00F93AAC"/>
    <w:rsid w:val="00FA3D17"/>
    <w:rsid w:val="00FA4B99"/>
    <w:rsid w:val="00FB0375"/>
    <w:rsid w:val="00FC0161"/>
    <w:rsid w:val="00FC2590"/>
    <w:rsid w:val="00FC59E0"/>
    <w:rsid w:val="00FC6F23"/>
    <w:rsid w:val="00FE3023"/>
    <w:rsid w:val="00FE397A"/>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A363890D-A94B-43E0-BA16-943DF900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95274093">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9239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7DD-443C-4A61-8649-1B9DCEC5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Pages>
  <Words>2012</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66</cp:revision>
  <cp:lastPrinted>2025-02-14T17:17:00Z</cp:lastPrinted>
  <dcterms:created xsi:type="dcterms:W3CDTF">2024-02-09T18:40:00Z</dcterms:created>
  <dcterms:modified xsi:type="dcterms:W3CDTF">2025-03-31T11:27:00Z</dcterms:modified>
</cp:coreProperties>
</file>