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52913" w14:textId="77777777" w:rsidR="00DA79B7" w:rsidRPr="00DC7978" w:rsidRDefault="00DA79B7" w:rsidP="00DA79B7">
      <w:pPr>
        <w:spacing w:line="360" w:lineRule="auto"/>
        <w:jc w:val="center"/>
        <w:rPr>
          <w:b/>
          <w:sz w:val="22"/>
          <w:szCs w:val="22"/>
        </w:rPr>
      </w:pPr>
      <w:r w:rsidRPr="00DC7978">
        <w:rPr>
          <w:b/>
          <w:sz w:val="22"/>
          <w:szCs w:val="22"/>
        </w:rPr>
        <w:t>TERMO DE REFERÊNCIA</w:t>
      </w:r>
    </w:p>
    <w:p w14:paraId="4CC8F5BA" w14:textId="77777777" w:rsidR="00EB0B0F" w:rsidRPr="00DC7978" w:rsidRDefault="00EB0B0F" w:rsidP="00DA79B7">
      <w:pPr>
        <w:spacing w:line="360" w:lineRule="auto"/>
        <w:jc w:val="center"/>
        <w:rPr>
          <w:sz w:val="22"/>
          <w:szCs w:val="22"/>
        </w:rPr>
      </w:pPr>
    </w:p>
    <w:p w14:paraId="0415AD06" w14:textId="3E84C838" w:rsidR="00DA79B7" w:rsidRPr="00DC7978" w:rsidRDefault="00DA79B7" w:rsidP="00DA79B7">
      <w:pPr>
        <w:spacing w:line="360" w:lineRule="auto"/>
        <w:jc w:val="both"/>
        <w:rPr>
          <w:b/>
          <w:bCs/>
          <w:sz w:val="22"/>
          <w:szCs w:val="22"/>
        </w:rPr>
      </w:pPr>
      <w:r w:rsidRPr="00DC7978">
        <w:rPr>
          <w:b/>
          <w:bCs/>
          <w:sz w:val="22"/>
          <w:szCs w:val="22"/>
        </w:rPr>
        <w:t>PROCESSO ADMINISTRATIVO Nº</w:t>
      </w:r>
      <w:r w:rsidR="002803D7" w:rsidRPr="00DC7978">
        <w:rPr>
          <w:b/>
          <w:bCs/>
          <w:sz w:val="22"/>
          <w:szCs w:val="22"/>
        </w:rPr>
        <w:t xml:space="preserve"> </w:t>
      </w:r>
      <w:r w:rsidR="000B2EC3">
        <w:rPr>
          <w:b/>
          <w:bCs/>
          <w:sz w:val="22"/>
          <w:szCs w:val="22"/>
        </w:rPr>
        <w:t>17</w:t>
      </w:r>
      <w:r w:rsidRPr="00DC7978">
        <w:rPr>
          <w:b/>
          <w:bCs/>
          <w:sz w:val="22"/>
          <w:szCs w:val="22"/>
        </w:rPr>
        <w:t>/202</w:t>
      </w:r>
      <w:r w:rsidR="009D515A">
        <w:rPr>
          <w:b/>
          <w:bCs/>
          <w:sz w:val="22"/>
          <w:szCs w:val="22"/>
        </w:rPr>
        <w:t>5</w:t>
      </w:r>
    </w:p>
    <w:p w14:paraId="4E9B80F7" w14:textId="197440A0" w:rsidR="00DA79B7" w:rsidRPr="00DC7978" w:rsidRDefault="00DA79B7" w:rsidP="00DA79B7">
      <w:pPr>
        <w:spacing w:line="360" w:lineRule="auto"/>
        <w:jc w:val="both"/>
        <w:rPr>
          <w:sz w:val="22"/>
          <w:szCs w:val="22"/>
        </w:rPr>
      </w:pPr>
      <w:r w:rsidRPr="00DC7978">
        <w:rPr>
          <w:sz w:val="22"/>
          <w:szCs w:val="22"/>
        </w:rPr>
        <w:t>Município de Miraguaí - RS</w:t>
      </w:r>
    </w:p>
    <w:p w14:paraId="3EAF7001" w14:textId="4EA9935F" w:rsidR="00DA79B7" w:rsidRPr="00DC7978" w:rsidRDefault="00DA79B7" w:rsidP="00DA79B7">
      <w:pPr>
        <w:spacing w:line="360" w:lineRule="auto"/>
        <w:jc w:val="both"/>
        <w:rPr>
          <w:sz w:val="22"/>
          <w:szCs w:val="22"/>
        </w:rPr>
      </w:pPr>
      <w:r w:rsidRPr="00DC7978">
        <w:rPr>
          <w:sz w:val="22"/>
          <w:szCs w:val="22"/>
        </w:rPr>
        <w:t xml:space="preserve">Secretaria Municipal de </w:t>
      </w:r>
      <w:r w:rsidR="009D515A">
        <w:rPr>
          <w:sz w:val="22"/>
          <w:szCs w:val="22"/>
        </w:rPr>
        <w:t>Administração</w:t>
      </w:r>
    </w:p>
    <w:p w14:paraId="6B689BE5" w14:textId="77777777" w:rsidR="00DA79B7" w:rsidRPr="00DC7978" w:rsidRDefault="00DA79B7" w:rsidP="00DA79B7">
      <w:pPr>
        <w:spacing w:line="360" w:lineRule="auto"/>
        <w:jc w:val="both"/>
        <w:rPr>
          <w:sz w:val="22"/>
          <w:szCs w:val="22"/>
        </w:rPr>
      </w:pPr>
    </w:p>
    <w:p w14:paraId="577C7650" w14:textId="77777777" w:rsidR="00D53696" w:rsidRPr="00D53696" w:rsidRDefault="00DA79B7" w:rsidP="00D53696">
      <w:pPr>
        <w:spacing w:line="360" w:lineRule="auto"/>
        <w:jc w:val="both"/>
        <w:rPr>
          <w:b/>
          <w:bCs/>
          <w:sz w:val="22"/>
          <w:szCs w:val="22"/>
        </w:rPr>
      </w:pPr>
      <w:r w:rsidRPr="00DC7978">
        <w:rPr>
          <w:sz w:val="22"/>
          <w:szCs w:val="22"/>
        </w:rPr>
        <w:t xml:space="preserve">Necessidade da Administração: </w:t>
      </w:r>
    </w:p>
    <w:p w14:paraId="3FE032F8" w14:textId="46112A2B" w:rsidR="002803D7" w:rsidRPr="00D53696" w:rsidRDefault="00D53696" w:rsidP="00D53696">
      <w:pPr>
        <w:spacing w:line="360" w:lineRule="auto"/>
        <w:jc w:val="both"/>
        <w:rPr>
          <w:sz w:val="22"/>
          <w:szCs w:val="22"/>
        </w:rPr>
      </w:pPr>
      <w:r w:rsidRPr="00D53696">
        <w:rPr>
          <w:b/>
          <w:bCs/>
          <w:sz w:val="22"/>
          <w:szCs w:val="22"/>
        </w:rPr>
        <w:t xml:space="preserve"> </w:t>
      </w:r>
      <w:bookmarkStart w:id="0" w:name="_Hlk189748399"/>
      <w:r w:rsidRPr="00D53696">
        <w:rPr>
          <w:sz w:val="22"/>
          <w:szCs w:val="22"/>
        </w:rPr>
        <w:t>O presente Termo de Referência tem como objetivo a contratação de um especialista técnico, para a realização de auditoria e conferência dos cálculos apresentados pelo perito, com o intuito de garantir a precisão, a conformidade e a adequação dos mesmos, considerando as normas técnicas e legais vigentes.</w:t>
      </w:r>
    </w:p>
    <w:bookmarkEnd w:id="0"/>
    <w:p w14:paraId="09DC9DD1"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OBJETO</w:t>
      </w:r>
    </w:p>
    <w:p w14:paraId="4C11630E" w14:textId="116DA5D5" w:rsidR="00224D32" w:rsidRDefault="00D53696" w:rsidP="00224D32">
      <w:pPr>
        <w:spacing w:line="360" w:lineRule="auto"/>
        <w:ind w:firstLine="709"/>
        <w:jc w:val="both"/>
        <w:rPr>
          <w:sz w:val="22"/>
          <w:szCs w:val="22"/>
        </w:rPr>
      </w:pPr>
      <w:r w:rsidRPr="00D53696">
        <w:rPr>
          <w:sz w:val="22"/>
          <w:szCs w:val="22"/>
        </w:rPr>
        <w:t xml:space="preserve">Análise do Laudo Pericial apresentado pelo Perito na AÇÃO TRABALHISTA - RITO ORDINÁRIO </w:t>
      </w:r>
      <w:proofErr w:type="spellStart"/>
      <w:r w:rsidRPr="00D53696">
        <w:rPr>
          <w:sz w:val="22"/>
          <w:szCs w:val="22"/>
        </w:rPr>
        <w:t>ATOrd</w:t>
      </w:r>
      <w:proofErr w:type="spellEnd"/>
      <w:r w:rsidRPr="00D53696">
        <w:rPr>
          <w:sz w:val="22"/>
          <w:szCs w:val="22"/>
        </w:rPr>
        <w:t xml:space="preserve"> 0020381-44.2022.5.04.0641</w:t>
      </w:r>
      <w:r w:rsidR="00F328EB">
        <w:rPr>
          <w:sz w:val="22"/>
          <w:szCs w:val="22"/>
        </w:rPr>
        <w:t>, cujo valor atualizado é de R$ 826.145,04</w:t>
      </w:r>
      <w:r w:rsidRPr="00D53696">
        <w:rPr>
          <w:sz w:val="22"/>
          <w:szCs w:val="22"/>
        </w:rPr>
        <w:t>,</w:t>
      </w:r>
      <w:r w:rsidR="00F328EB">
        <w:rPr>
          <w:sz w:val="22"/>
          <w:szCs w:val="22"/>
        </w:rPr>
        <w:t xml:space="preserve"> sendo necessária a </w:t>
      </w:r>
      <w:r w:rsidRPr="00D53696">
        <w:rPr>
          <w:sz w:val="22"/>
          <w:szCs w:val="22"/>
        </w:rPr>
        <w:t>emissão de Parecer Técnico por profissional devidamente habilitado para realização de Perícia, visando a conferência dos valores apurados e, se necessário, apresentar embasamento para impugnação do cálculo do Perito</w:t>
      </w:r>
      <w:r w:rsidR="00396A38" w:rsidRPr="00396A38">
        <w:rPr>
          <w:sz w:val="22"/>
          <w:szCs w:val="22"/>
        </w:rPr>
        <w:t>.</w:t>
      </w:r>
    </w:p>
    <w:p w14:paraId="32B45B37"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JUSTIFICATIVA</w:t>
      </w:r>
    </w:p>
    <w:p w14:paraId="56E14AB0" w14:textId="03F0EFB0" w:rsidR="00224D32" w:rsidRPr="00224D32" w:rsidRDefault="00224D32" w:rsidP="00224D32">
      <w:pPr>
        <w:spacing w:line="360" w:lineRule="auto"/>
        <w:ind w:firstLine="709"/>
        <w:jc w:val="both"/>
        <w:rPr>
          <w:sz w:val="22"/>
          <w:szCs w:val="22"/>
        </w:rPr>
      </w:pPr>
      <w:r w:rsidRPr="00224D32">
        <w:rPr>
          <w:sz w:val="22"/>
          <w:szCs w:val="22"/>
        </w:rPr>
        <w:t>A conferência dos cálculos apresentados pelo perito é necessária para assegurar que as metodologias e os procedimentos utilizados estão em conformidade com as práticas adequadas e que os resultados apresentados são corretos, transparentes e juridicamente válidos, garantindo a veracidade dos dados</w:t>
      </w:r>
      <w:r w:rsidR="00F328EB">
        <w:rPr>
          <w:sz w:val="22"/>
          <w:szCs w:val="22"/>
        </w:rPr>
        <w:t xml:space="preserve"> e possibilitando que o município não realize pagamentos fora do estabelecido na sentença, evitando prejuízos ao Poder Público. </w:t>
      </w:r>
    </w:p>
    <w:p w14:paraId="29C53420" w14:textId="77777777" w:rsidR="00E36F1E" w:rsidRPr="00DC7978"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r w:rsidRPr="00DC7978">
        <w:rPr>
          <w:rFonts w:ascii="Times New Roman" w:hAnsi="Times New Roman"/>
          <w:b/>
          <w:bCs/>
          <w:color w:val="000000" w:themeColor="text1"/>
        </w:rPr>
        <w:t>DESCRIÇÃO DETALHADA DO OBJETO E REQUISITOS DA CONTRATAÇÃO</w:t>
      </w:r>
    </w:p>
    <w:p w14:paraId="7A1A71AF" w14:textId="77777777" w:rsidR="00F328EB" w:rsidRDefault="000B2EC3" w:rsidP="00F328EB">
      <w:pPr>
        <w:ind w:firstLine="709"/>
        <w:jc w:val="both"/>
        <w:rPr>
          <w:color w:val="000000" w:themeColor="text1"/>
          <w:sz w:val="22"/>
          <w:szCs w:val="22"/>
        </w:rPr>
      </w:pPr>
      <w:r w:rsidRPr="000B2EC3">
        <w:rPr>
          <w:color w:val="000000" w:themeColor="text1"/>
          <w:sz w:val="22"/>
          <w:szCs w:val="22"/>
        </w:rPr>
        <w:t xml:space="preserve">Considerando que na Ação são elencados 20 (vinte) cálculos a serem analisados de 16 (dezesseis) reclamantes, </w:t>
      </w:r>
      <w:r w:rsidR="00F328EB">
        <w:rPr>
          <w:color w:val="000000" w:themeColor="text1"/>
          <w:sz w:val="22"/>
          <w:szCs w:val="22"/>
        </w:rPr>
        <w:t xml:space="preserve">devendo ser analisado cada um dos cálculos apresentados. </w:t>
      </w:r>
    </w:p>
    <w:p w14:paraId="6FBF9C1B" w14:textId="77777777" w:rsidR="000B2EC3" w:rsidRPr="00DC7978" w:rsidRDefault="000B2EC3" w:rsidP="005F2236">
      <w:pPr>
        <w:ind w:firstLine="851"/>
        <w:rPr>
          <w:color w:val="000000" w:themeColor="text1"/>
          <w:sz w:val="22"/>
          <w:szCs w:val="22"/>
        </w:rPr>
      </w:pPr>
    </w:p>
    <w:p w14:paraId="1650B232" w14:textId="77777777" w:rsidR="00E36F1E" w:rsidRPr="00DC7978"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bookmarkStart w:id="1" w:name="_Hlk78453840"/>
      <w:r w:rsidRPr="00DC7978">
        <w:rPr>
          <w:rFonts w:ascii="Times New Roman" w:hAnsi="Times New Roman"/>
          <w:b/>
          <w:bCs/>
          <w:color w:val="000000" w:themeColor="text1"/>
        </w:rPr>
        <w:t>MODELO DE EXECUÇÃO DO OBJETO</w:t>
      </w:r>
    </w:p>
    <w:bookmarkEnd w:id="1"/>
    <w:p w14:paraId="1D066E11" w14:textId="72EB68B6" w:rsidR="00224D32" w:rsidRPr="00224D32" w:rsidRDefault="00B1237C" w:rsidP="00B1237C">
      <w:pPr>
        <w:pStyle w:val="PargrafodaLista"/>
        <w:spacing w:after="0" w:line="360" w:lineRule="auto"/>
        <w:ind w:left="0"/>
        <w:jc w:val="both"/>
        <w:rPr>
          <w:rFonts w:ascii="Times New Roman" w:hAnsi="Times New Roman"/>
        </w:rPr>
      </w:pPr>
      <w:r>
        <w:rPr>
          <w:rFonts w:ascii="Times New Roman" w:hAnsi="Times New Roman"/>
        </w:rPr>
        <w:t xml:space="preserve">4.1 </w:t>
      </w:r>
      <w:r w:rsidR="00224D32" w:rsidRPr="00224D32">
        <w:rPr>
          <w:rFonts w:ascii="Times New Roman" w:hAnsi="Times New Roman"/>
        </w:rPr>
        <w:t>O serviço de conferência de cálculos compreenderá, mas não se limitará, às seguintes atividades:</w:t>
      </w:r>
    </w:p>
    <w:p w14:paraId="1AB93E7F" w14:textId="77777777" w:rsidR="00224D32" w:rsidRPr="00224D32" w:rsidRDefault="00224D32" w:rsidP="00224D32">
      <w:pPr>
        <w:pStyle w:val="PargrafodaLista"/>
        <w:spacing w:after="0" w:line="360" w:lineRule="auto"/>
        <w:ind w:left="0" w:firstLine="709"/>
        <w:jc w:val="both"/>
        <w:rPr>
          <w:rFonts w:ascii="Times New Roman" w:hAnsi="Times New Roman"/>
        </w:rPr>
      </w:pPr>
    </w:p>
    <w:p w14:paraId="4F9F4A14" w14:textId="77777777" w:rsidR="00224D32" w:rsidRPr="00224D32" w:rsidRDefault="00224D32" w:rsidP="00B1237C">
      <w:pPr>
        <w:pStyle w:val="PargrafodaLista"/>
        <w:numPr>
          <w:ilvl w:val="0"/>
          <w:numId w:val="8"/>
        </w:numPr>
        <w:spacing w:after="0" w:line="360" w:lineRule="auto"/>
        <w:jc w:val="both"/>
        <w:rPr>
          <w:rFonts w:ascii="Times New Roman" w:hAnsi="Times New Roman"/>
        </w:rPr>
      </w:pPr>
      <w:r w:rsidRPr="00224D32">
        <w:rPr>
          <w:rFonts w:ascii="Times New Roman" w:hAnsi="Times New Roman"/>
        </w:rPr>
        <w:t>Análise detalhada dos cálculos apresentados pelo perito;</w:t>
      </w:r>
    </w:p>
    <w:p w14:paraId="2CE9C718" w14:textId="77777777" w:rsidR="00224D32" w:rsidRPr="00224D32" w:rsidRDefault="00224D32" w:rsidP="00B1237C">
      <w:pPr>
        <w:pStyle w:val="PargrafodaLista"/>
        <w:numPr>
          <w:ilvl w:val="0"/>
          <w:numId w:val="8"/>
        </w:numPr>
        <w:spacing w:after="0" w:line="360" w:lineRule="auto"/>
        <w:jc w:val="both"/>
        <w:rPr>
          <w:rFonts w:ascii="Times New Roman" w:hAnsi="Times New Roman"/>
        </w:rPr>
      </w:pPr>
      <w:r w:rsidRPr="00224D32">
        <w:rPr>
          <w:rFonts w:ascii="Times New Roman" w:hAnsi="Times New Roman"/>
        </w:rPr>
        <w:lastRenderedPageBreak/>
        <w:t>Verificação da aplicação de fórmulas e métodos de cálculo utilizados;</w:t>
      </w:r>
    </w:p>
    <w:p w14:paraId="1F87B7CA" w14:textId="77777777" w:rsidR="00224D32" w:rsidRPr="00224D32" w:rsidRDefault="00224D32" w:rsidP="00B1237C">
      <w:pPr>
        <w:pStyle w:val="PargrafodaLista"/>
        <w:numPr>
          <w:ilvl w:val="0"/>
          <w:numId w:val="8"/>
        </w:numPr>
        <w:spacing w:after="0" w:line="360" w:lineRule="auto"/>
        <w:jc w:val="both"/>
        <w:rPr>
          <w:rFonts w:ascii="Times New Roman" w:hAnsi="Times New Roman"/>
        </w:rPr>
      </w:pPr>
      <w:r w:rsidRPr="00224D32">
        <w:rPr>
          <w:rFonts w:ascii="Times New Roman" w:hAnsi="Times New Roman"/>
        </w:rPr>
        <w:t>Avaliação da consistência e da precisão dos dados utilizados no cálculo;</w:t>
      </w:r>
    </w:p>
    <w:p w14:paraId="34A29295" w14:textId="77777777" w:rsidR="00224D32" w:rsidRPr="00224D32" w:rsidRDefault="00224D32" w:rsidP="00B1237C">
      <w:pPr>
        <w:pStyle w:val="PargrafodaLista"/>
        <w:numPr>
          <w:ilvl w:val="0"/>
          <w:numId w:val="8"/>
        </w:numPr>
        <w:spacing w:after="0" w:line="360" w:lineRule="auto"/>
        <w:jc w:val="both"/>
        <w:rPr>
          <w:rFonts w:ascii="Times New Roman" w:hAnsi="Times New Roman"/>
        </w:rPr>
      </w:pPr>
      <w:r w:rsidRPr="00224D32">
        <w:rPr>
          <w:rFonts w:ascii="Times New Roman" w:hAnsi="Times New Roman"/>
        </w:rPr>
        <w:t>Comparação entre os valores apresentados e os valores que seriam esperados com base em cálculos alternativos ou modelos padrão;</w:t>
      </w:r>
    </w:p>
    <w:p w14:paraId="37F7C6F6" w14:textId="5BDE1B92" w:rsidR="00677026" w:rsidRDefault="00224D32" w:rsidP="00B1237C">
      <w:pPr>
        <w:pStyle w:val="PargrafodaLista"/>
        <w:numPr>
          <w:ilvl w:val="0"/>
          <w:numId w:val="8"/>
        </w:numPr>
        <w:spacing w:after="0" w:line="360" w:lineRule="auto"/>
        <w:jc w:val="both"/>
        <w:rPr>
          <w:rFonts w:ascii="Times New Roman" w:hAnsi="Times New Roman"/>
          <w:lang w:eastAsia="en-US"/>
        </w:rPr>
      </w:pPr>
      <w:r w:rsidRPr="00224D32">
        <w:rPr>
          <w:rFonts w:ascii="Times New Roman" w:hAnsi="Times New Roman"/>
        </w:rPr>
        <w:t>Emissão de relatório técnico detalhado, contendo a análise realizada, as divergências encontradas (se houver), e as correções ou ajustes necessários, quando aplicável.</w:t>
      </w:r>
    </w:p>
    <w:p w14:paraId="46DF75F0" w14:textId="38658A59" w:rsidR="00B1237C" w:rsidRPr="00B1237C" w:rsidRDefault="00B1237C" w:rsidP="00B1237C">
      <w:pPr>
        <w:spacing w:line="360" w:lineRule="auto"/>
        <w:jc w:val="both"/>
        <w:rPr>
          <w:sz w:val="22"/>
          <w:szCs w:val="22"/>
        </w:rPr>
      </w:pPr>
      <w:r w:rsidRPr="00B1237C">
        <w:rPr>
          <w:sz w:val="22"/>
          <w:szCs w:val="22"/>
        </w:rPr>
        <w:t xml:space="preserve">4.2 </w:t>
      </w:r>
      <w:r w:rsidRPr="00B1237C">
        <w:rPr>
          <w:sz w:val="22"/>
          <w:szCs w:val="22"/>
          <w:lang w:eastAsia="en-US"/>
        </w:rPr>
        <w:t>O profissional contratado deverá adotar as seguintes etapas para a realização do serviço:</w:t>
      </w:r>
    </w:p>
    <w:p w14:paraId="05BC49B7" w14:textId="77777777" w:rsidR="00B1237C" w:rsidRPr="00B1237C" w:rsidRDefault="00B1237C" w:rsidP="00B1237C">
      <w:pPr>
        <w:numPr>
          <w:ilvl w:val="0"/>
          <w:numId w:val="9"/>
        </w:numPr>
        <w:spacing w:line="360" w:lineRule="auto"/>
        <w:ind w:left="0" w:firstLine="0"/>
        <w:jc w:val="both"/>
        <w:rPr>
          <w:sz w:val="22"/>
          <w:szCs w:val="22"/>
          <w:lang w:eastAsia="en-US"/>
        </w:rPr>
      </w:pPr>
      <w:r w:rsidRPr="00B1237C">
        <w:rPr>
          <w:b/>
          <w:bCs/>
          <w:sz w:val="22"/>
          <w:szCs w:val="22"/>
          <w:lang w:eastAsia="en-US"/>
        </w:rPr>
        <w:t>Recebimento dos Cálculos</w:t>
      </w:r>
      <w:r w:rsidRPr="00B1237C">
        <w:rPr>
          <w:sz w:val="22"/>
          <w:szCs w:val="22"/>
          <w:lang w:eastAsia="en-US"/>
        </w:rPr>
        <w:t>: O perito fornecerá todos os documentos e relatórios referentes aos cálculos que serão auditados.</w:t>
      </w:r>
    </w:p>
    <w:p w14:paraId="23649692" w14:textId="77777777" w:rsidR="00B1237C" w:rsidRPr="00B1237C" w:rsidRDefault="00B1237C" w:rsidP="00B1237C">
      <w:pPr>
        <w:numPr>
          <w:ilvl w:val="0"/>
          <w:numId w:val="9"/>
        </w:numPr>
        <w:spacing w:line="360" w:lineRule="auto"/>
        <w:ind w:left="0" w:firstLine="0"/>
        <w:jc w:val="both"/>
        <w:rPr>
          <w:sz w:val="22"/>
          <w:szCs w:val="22"/>
          <w:lang w:eastAsia="en-US"/>
        </w:rPr>
      </w:pPr>
      <w:r w:rsidRPr="00B1237C">
        <w:rPr>
          <w:b/>
          <w:bCs/>
          <w:sz w:val="22"/>
          <w:szCs w:val="22"/>
          <w:lang w:eastAsia="en-US"/>
        </w:rPr>
        <w:t>Análise e Verificação</w:t>
      </w:r>
      <w:r w:rsidRPr="00B1237C">
        <w:rPr>
          <w:sz w:val="22"/>
          <w:szCs w:val="22"/>
          <w:lang w:eastAsia="en-US"/>
        </w:rPr>
        <w:t>: Será feita uma análise detalhada de cada item do cálculo, incluindo a revisão dos dados utilizados, fórmulas aplicadas e a lógica por trás dos valores apresentados.</w:t>
      </w:r>
    </w:p>
    <w:p w14:paraId="64F13581" w14:textId="77777777" w:rsidR="00B1237C" w:rsidRPr="00B1237C" w:rsidRDefault="00B1237C" w:rsidP="00B1237C">
      <w:pPr>
        <w:numPr>
          <w:ilvl w:val="0"/>
          <w:numId w:val="9"/>
        </w:numPr>
        <w:spacing w:line="360" w:lineRule="auto"/>
        <w:ind w:left="0" w:firstLine="0"/>
        <w:jc w:val="both"/>
        <w:rPr>
          <w:sz w:val="22"/>
          <w:szCs w:val="22"/>
          <w:lang w:eastAsia="en-US"/>
        </w:rPr>
      </w:pPr>
      <w:r w:rsidRPr="00B1237C">
        <w:rPr>
          <w:b/>
          <w:bCs/>
          <w:sz w:val="22"/>
          <w:szCs w:val="22"/>
          <w:lang w:eastAsia="en-US"/>
        </w:rPr>
        <w:t>Identificação de Divergências</w:t>
      </w:r>
      <w:r w:rsidRPr="00B1237C">
        <w:rPr>
          <w:sz w:val="22"/>
          <w:szCs w:val="22"/>
          <w:lang w:eastAsia="en-US"/>
        </w:rPr>
        <w:t>: Caso haja alguma divergência nos cálculos, o auditor deverá detalhar as diferenças encontradas, indicar as causas e, quando necessário, sugerir ajustes.</w:t>
      </w:r>
    </w:p>
    <w:p w14:paraId="0906865E" w14:textId="64237635" w:rsidR="00B1237C" w:rsidRPr="00753976" w:rsidRDefault="00B1237C" w:rsidP="00B1237C">
      <w:pPr>
        <w:numPr>
          <w:ilvl w:val="0"/>
          <w:numId w:val="9"/>
        </w:numPr>
        <w:spacing w:line="360" w:lineRule="auto"/>
        <w:ind w:left="0" w:firstLine="0"/>
        <w:jc w:val="both"/>
        <w:rPr>
          <w:sz w:val="22"/>
          <w:szCs w:val="22"/>
          <w:lang w:eastAsia="en-US"/>
        </w:rPr>
      </w:pPr>
      <w:r w:rsidRPr="00B1237C">
        <w:rPr>
          <w:b/>
          <w:bCs/>
          <w:sz w:val="22"/>
          <w:szCs w:val="22"/>
          <w:lang w:eastAsia="en-US"/>
        </w:rPr>
        <w:t>Elaboração de Relatório Técnico</w:t>
      </w:r>
      <w:r w:rsidRPr="00B1237C">
        <w:rPr>
          <w:sz w:val="22"/>
          <w:szCs w:val="22"/>
          <w:lang w:eastAsia="en-US"/>
        </w:rPr>
        <w:t>: O auditor deverá elaborar um relatório técnico conclusivo, que será entregue ao contratante, detalhando todas as constatações e eventuais correções necessárias.</w:t>
      </w:r>
    </w:p>
    <w:p w14:paraId="49BCCA25"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ENQUADRAMENTO:</w:t>
      </w:r>
    </w:p>
    <w:p w14:paraId="6AA3B944" w14:textId="1E3B2206" w:rsidR="00E36F1E" w:rsidRDefault="00E36F1E" w:rsidP="005F2236">
      <w:pPr>
        <w:spacing w:line="360" w:lineRule="auto"/>
        <w:ind w:firstLine="851"/>
        <w:jc w:val="both"/>
        <w:rPr>
          <w:sz w:val="22"/>
          <w:szCs w:val="22"/>
        </w:rPr>
      </w:pPr>
      <w:r w:rsidRPr="00DC7978">
        <w:rPr>
          <w:sz w:val="22"/>
          <w:szCs w:val="22"/>
        </w:rPr>
        <w:t>Artigo 7</w:t>
      </w:r>
      <w:r w:rsidR="009A6037" w:rsidRPr="00DC7978">
        <w:rPr>
          <w:sz w:val="22"/>
          <w:szCs w:val="22"/>
        </w:rPr>
        <w:t>4</w:t>
      </w:r>
      <w:r w:rsidRPr="00DC7978">
        <w:rPr>
          <w:sz w:val="22"/>
          <w:szCs w:val="22"/>
        </w:rPr>
        <w:t>, inc. I</w:t>
      </w:r>
      <w:r w:rsidR="00224D32">
        <w:rPr>
          <w:sz w:val="22"/>
          <w:szCs w:val="22"/>
        </w:rPr>
        <w:t>I</w:t>
      </w:r>
      <w:r w:rsidR="00416359">
        <w:rPr>
          <w:sz w:val="22"/>
          <w:szCs w:val="22"/>
        </w:rPr>
        <w:t>I</w:t>
      </w:r>
      <w:r w:rsidR="003A64BD">
        <w:rPr>
          <w:sz w:val="22"/>
          <w:szCs w:val="22"/>
        </w:rPr>
        <w:t xml:space="preserve">, </w:t>
      </w:r>
      <w:r w:rsidRPr="00DC7978">
        <w:rPr>
          <w:sz w:val="22"/>
          <w:szCs w:val="22"/>
        </w:rPr>
        <w:t>da Lei nº 14.133/2021</w:t>
      </w:r>
      <w:r w:rsidR="003A64BD">
        <w:rPr>
          <w:sz w:val="22"/>
          <w:szCs w:val="22"/>
        </w:rPr>
        <w:t>, que assim dispõe:</w:t>
      </w:r>
    </w:p>
    <w:p w14:paraId="112A893C" w14:textId="6A75D775" w:rsidR="003A64BD" w:rsidRDefault="003A64BD" w:rsidP="005F2236">
      <w:pPr>
        <w:spacing w:line="360" w:lineRule="auto"/>
        <w:ind w:firstLine="851"/>
        <w:jc w:val="both"/>
        <w:rPr>
          <w:sz w:val="22"/>
          <w:szCs w:val="22"/>
        </w:rPr>
      </w:pPr>
      <w:r>
        <w:rPr>
          <w:sz w:val="22"/>
          <w:szCs w:val="22"/>
        </w:rPr>
        <w:t>Art. 74. É inexigível a licitação quando inviável a competição, em especial nos casos de:</w:t>
      </w:r>
    </w:p>
    <w:p w14:paraId="7B6B5709" w14:textId="5A6AE7B7" w:rsidR="003A64BD" w:rsidRDefault="003A64BD" w:rsidP="005F2236">
      <w:pPr>
        <w:spacing w:line="360" w:lineRule="auto"/>
        <w:ind w:firstLine="851"/>
        <w:jc w:val="both"/>
        <w:rPr>
          <w:sz w:val="22"/>
          <w:szCs w:val="22"/>
        </w:rPr>
      </w:pPr>
      <w:r>
        <w:rPr>
          <w:sz w:val="22"/>
          <w:szCs w:val="22"/>
        </w:rPr>
        <w:t>I</w:t>
      </w:r>
      <w:r w:rsidR="00224D32">
        <w:rPr>
          <w:sz w:val="22"/>
          <w:szCs w:val="22"/>
        </w:rPr>
        <w:t>I</w:t>
      </w:r>
      <w:r>
        <w:rPr>
          <w:sz w:val="22"/>
          <w:szCs w:val="22"/>
        </w:rPr>
        <w:t xml:space="preserve">I – </w:t>
      </w:r>
      <w:r w:rsidR="00224D32" w:rsidRPr="00224D32">
        <w:rPr>
          <w:sz w:val="22"/>
          <w:szCs w:val="22"/>
        </w:rPr>
        <w:t>contratação dos seguintes serviços técnicos especializados de natureza predominantemente intelectual com profissionais ou empresas de notória especialização, vedada a inexigibilidade para serviços de publicidade e divulgação:</w:t>
      </w:r>
    </w:p>
    <w:p w14:paraId="392B2AD9" w14:textId="29475D7D" w:rsidR="00224D32" w:rsidRPr="00DC7978" w:rsidRDefault="00B1237C" w:rsidP="005F2236">
      <w:pPr>
        <w:spacing w:line="360" w:lineRule="auto"/>
        <w:ind w:firstLine="851"/>
        <w:jc w:val="both"/>
        <w:rPr>
          <w:sz w:val="22"/>
          <w:szCs w:val="22"/>
        </w:rPr>
      </w:pPr>
      <w:r>
        <w:rPr>
          <w:sz w:val="22"/>
          <w:szCs w:val="22"/>
        </w:rPr>
        <w:t xml:space="preserve">b) </w:t>
      </w:r>
      <w:r w:rsidRPr="00B1237C">
        <w:rPr>
          <w:sz w:val="22"/>
          <w:szCs w:val="22"/>
        </w:rPr>
        <w:t>pareceres, perícias e avaliações em geral;</w:t>
      </w:r>
    </w:p>
    <w:p w14:paraId="26075F04" w14:textId="77777777" w:rsidR="00E36F1E" w:rsidRPr="00DC7978" w:rsidRDefault="00E36F1E" w:rsidP="005F2236">
      <w:pPr>
        <w:spacing w:line="360" w:lineRule="auto"/>
        <w:ind w:firstLine="851"/>
        <w:jc w:val="both"/>
        <w:rPr>
          <w:sz w:val="22"/>
          <w:szCs w:val="22"/>
        </w:rPr>
      </w:pPr>
    </w:p>
    <w:p w14:paraId="03D4D2DB" w14:textId="77777777" w:rsidR="00E36F1E" w:rsidRPr="000B1A09" w:rsidRDefault="00E36F1E" w:rsidP="005F2236">
      <w:pPr>
        <w:pStyle w:val="PargrafodaLista"/>
        <w:numPr>
          <w:ilvl w:val="0"/>
          <w:numId w:val="1"/>
        </w:numPr>
        <w:spacing w:after="0" w:line="360" w:lineRule="auto"/>
        <w:ind w:left="0" w:firstLine="851"/>
        <w:jc w:val="both"/>
        <w:rPr>
          <w:rFonts w:ascii="Times New Roman" w:hAnsi="Times New Roman"/>
          <w:b/>
          <w:bCs/>
        </w:rPr>
      </w:pPr>
      <w:r w:rsidRPr="000B1A09">
        <w:rPr>
          <w:rFonts w:ascii="Times New Roman" w:hAnsi="Times New Roman"/>
          <w:b/>
          <w:bCs/>
        </w:rPr>
        <w:t>JUSTIFICATIVA DA INEXIGIBILIDADE:</w:t>
      </w:r>
    </w:p>
    <w:p w14:paraId="4DD32A0F" w14:textId="77777777" w:rsidR="000B1A09" w:rsidRPr="000B1A09" w:rsidRDefault="000B1A09" w:rsidP="000B1A09">
      <w:pPr>
        <w:spacing w:line="360" w:lineRule="auto"/>
        <w:ind w:firstLine="851"/>
        <w:jc w:val="both"/>
        <w:rPr>
          <w:sz w:val="22"/>
          <w:szCs w:val="22"/>
        </w:rPr>
      </w:pPr>
      <w:r w:rsidRPr="000B1A09">
        <w:rPr>
          <w:sz w:val="22"/>
          <w:szCs w:val="22"/>
        </w:rPr>
        <w:t>Em conformidade com o disposto no artigo 74, inciso III, alínea b, da Lei nº 14.133/2021, que autoriza a inexigibilidade de licitação quando o objeto da contratação envolver serviços técnicos especializados, com notória especialização, torna-se imperativo a contratação de um especialista técnico para a realização de auditoria e conferência dos cálculos apresentados pelo perito, conforme as especificidades do serviço demandado.</w:t>
      </w:r>
    </w:p>
    <w:p w14:paraId="39015CCA" w14:textId="77777777" w:rsidR="000B1A09" w:rsidRPr="000B1A09" w:rsidRDefault="000B1A09" w:rsidP="000B1A09">
      <w:pPr>
        <w:spacing w:line="360" w:lineRule="auto"/>
        <w:ind w:firstLine="851"/>
        <w:jc w:val="both"/>
        <w:rPr>
          <w:sz w:val="22"/>
          <w:szCs w:val="22"/>
        </w:rPr>
      </w:pPr>
    </w:p>
    <w:p w14:paraId="440121CA" w14:textId="5A34F56E" w:rsidR="000B1A09" w:rsidRPr="000B1A09" w:rsidRDefault="000B1A09" w:rsidP="000B1A09">
      <w:pPr>
        <w:spacing w:line="360" w:lineRule="auto"/>
        <w:ind w:firstLine="851"/>
        <w:jc w:val="both"/>
        <w:rPr>
          <w:sz w:val="22"/>
          <w:szCs w:val="22"/>
        </w:rPr>
      </w:pPr>
      <w:r w:rsidRPr="000B1A09">
        <w:rPr>
          <w:sz w:val="22"/>
          <w:szCs w:val="22"/>
        </w:rPr>
        <w:lastRenderedPageBreak/>
        <w:t>A natureza singular da auditoria e conferência de cálculos exige conhecimento altamente especializado e experiência reconhecida, dado que envolve análise detalhada e precisa de cálculos técnicos complexos, os quais não podem ser realizados por profissionais sem a expertise adequada. O especialista técnico a ser contratado possui a notória especialização necessária, sendo detentor de qualificação e experiência consagradas na área de auditoria técnica, o que justifica a inexigibilidade de licitação para esta contratação.</w:t>
      </w:r>
    </w:p>
    <w:p w14:paraId="38FB6F7E" w14:textId="3CB86CD4" w:rsidR="000B1A09" w:rsidRPr="000B1A09" w:rsidRDefault="000B1A09" w:rsidP="000B1A09">
      <w:pPr>
        <w:spacing w:line="360" w:lineRule="auto"/>
        <w:ind w:firstLine="851"/>
        <w:jc w:val="both"/>
        <w:rPr>
          <w:sz w:val="22"/>
          <w:szCs w:val="22"/>
        </w:rPr>
      </w:pPr>
      <w:r w:rsidRPr="000B1A09">
        <w:rPr>
          <w:sz w:val="22"/>
          <w:szCs w:val="22"/>
        </w:rPr>
        <w:t>Ademais, a contratação de um profissional com a especialização indicada visa garantir que os cálculos apresentados pelo perito sejam auditados de forma acurada, assegurando a correção e a integridade dos valores envolvidos, em conformidade com a legislação vigente.</w:t>
      </w:r>
    </w:p>
    <w:p w14:paraId="20F10AB8" w14:textId="77777777" w:rsidR="000B1A09" w:rsidRPr="000B1A09" w:rsidRDefault="000B1A09" w:rsidP="000B1A09">
      <w:pPr>
        <w:spacing w:line="360" w:lineRule="auto"/>
        <w:ind w:firstLine="851"/>
        <w:jc w:val="both"/>
        <w:rPr>
          <w:sz w:val="22"/>
          <w:szCs w:val="22"/>
        </w:rPr>
      </w:pPr>
      <w:r w:rsidRPr="000B1A09">
        <w:rPr>
          <w:sz w:val="22"/>
          <w:szCs w:val="22"/>
        </w:rPr>
        <w:t>Portanto, considerando que a necessidade de contratação se refere a serviço técnico especializado e que a competência do profissional a ser contratado é amplamente reconhecida no mercado, resta comprovada a inexistência de alternativas viáveis que permitam a competição para a realização do objeto, o que justifica a adoção do procedimento de inexigibilidade de licitação, conforme preconizado pela legislação aplicável.</w:t>
      </w:r>
    </w:p>
    <w:p w14:paraId="71A00A2F" w14:textId="77777777" w:rsidR="008D56A0" w:rsidRDefault="008D56A0" w:rsidP="008D56A0">
      <w:pPr>
        <w:spacing w:line="360" w:lineRule="auto"/>
        <w:jc w:val="both"/>
        <w:rPr>
          <w:b/>
          <w:bCs/>
          <w:sz w:val="22"/>
          <w:szCs w:val="22"/>
        </w:rPr>
      </w:pPr>
    </w:p>
    <w:p w14:paraId="39C58D2E" w14:textId="2B54DC9C" w:rsidR="00876CEC" w:rsidRPr="000B1A09" w:rsidRDefault="00876CEC" w:rsidP="008D56A0">
      <w:pPr>
        <w:spacing w:line="360" w:lineRule="auto"/>
        <w:jc w:val="both"/>
        <w:rPr>
          <w:b/>
          <w:bCs/>
          <w:sz w:val="22"/>
          <w:szCs w:val="22"/>
        </w:rPr>
      </w:pPr>
      <w:r w:rsidRPr="000B2EC3">
        <w:rPr>
          <w:b/>
          <w:bCs/>
          <w:sz w:val="22"/>
          <w:szCs w:val="22"/>
        </w:rPr>
        <w:t>DA JUSTIFICATIVA DO PREÇO</w:t>
      </w:r>
    </w:p>
    <w:p w14:paraId="600E930A" w14:textId="0AF36AD6" w:rsidR="00876CEC" w:rsidRDefault="00876CEC" w:rsidP="00876CEC">
      <w:pPr>
        <w:spacing w:line="360" w:lineRule="auto"/>
        <w:ind w:firstLine="851"/>
        <w:jc w:val="both"/>
        <w:rPr>
          <w:sz w:val="22"/>
          <w:szCs w:val="22"/>
        </w:rPr>
      </w:pPr>
      <w:r>
        <w:rPr>
          <w:sz w:val="22"/>
          <w:szCs w:val="22"/>
        </w:rPr>
        <w:t>V</w:t>
      </w:r>
      <w:r w:rsidRPr="00876CEC">
        <w:rPr>
          <w:sz w:val="22"/>
          <w:szCs w:val="22"/>
        </w:rPr>
        <w:t xml:space="preserve">isando fundamentar o valor </w:t>
      </w:r>
      <w:r>
        <w:rPr>
          <w:sz w:val="22"/>
          <w:szCs w:val="22"/>
        </w:rPr>
        <w:t>a ser pago, foi realizada uma pesquisa de preços no Portal Licitacon</w:t>
      </w:r>
      <w:r w:rsidR="005B4B66">
        <w:rPr>
          <w:sz w:val="22"/>
          <w:szCs w:val="22"/>
        </w:rPr>
        <w:t>, verificando contratações semelhantes</w:t>
      </w:r>
      <w:r>
        <w:rPr>
          <w:sz w:val="22"/>
          <w:szCs w:val="22"/>
        </w:rPr>
        <w:t xml:space="preserve">. </w:t>
      </w:r>
      <w:r w:rsidR="00D602F4">
        <w:rPr>
          <w:sz w:val="22"/>
          <w:szCs w:val="22"/>
        </w:rPr>
        <w:t xml:space="preserve">Conforme repassado pelo Procurador Jurídico, são 20 cálculos a serem analisados, de 16 autores. </w:t>
      </w:r>
    </w:p>
    <w:tbl>
      <w:tblPr>
        <w:tblStyle w:val="Tabelacomgrade"/>
        <w:tblW w:w="5112" w:type="pct"/>
        <w:tblInd w:w="-113" w:type="dxa"/>
        <w:tblLayout w:type="fixed"/>
        <w:tblLook w:val="04A0" w:firstRow="1" w:lastRow="0" w:firstColumn="1" w:lastColumn="0" w:noHBand="0" w:noVBand="1"/>
      </w:tblPr>
      <w:tblGrid>
        <w:gridCol w:w="718"/>
        <w:gridCol w:w="2302"/>
        <w:gridCol w:w="1988"/>
        <w:gridCol w:w="3049"/>
        <w:gridCol w:w="1149"/>
      </w:tblGrid>
      <w:tr w:rsidR="000B2EC3" w:rsidRPr="000B2EC3" w14:paraId="5D0D6A87" w14:textId="77777777" w:rsidTr="00D1137B">
        <w:tc>
          <w:tcPr>
            <w:tcW w:w="390" w:type="pct"/>
          </w:tcPr>
          <w:p w14:paraId="354059CD" w14:textId="77777777" w:rsidR="000B2EC3" w:rsidRPr="000B2EC3" w:rsidRDefault="000B2EC3" w:rsidP="000B2EC3">
            <w:pPr>
              <w:spacing w:line="360" w:lineRule="auto"/>
              <w:ind w:firstLine="851"/>
              <w:jc w:val="both"/>
              <w:rPr>
                <w:sz w:val="20"/>
                <w:szCs w:val="20"/>
              </w:rPr>
            </w:pPr>
            <w:bookmarkStart w:id="2" w:name="_Hlk184883540"/>
          </w:p>
        </w:tc>
        <w:tc>
          <w:tcPr>
            <w:tcW w:w="1250" w:type="pct"/>
          </w:tcPr>
          <w:p w14:paraId="00C1E764" w14:textId="77777777" w:rsidR="000B2EC3" w:rsidRPr="000B2EC3" w:rsidRDefault="000B2EC3" w:rsidP="000B2EC3">
            <w:pPr>
              <w:spacing w:line="360" w:lineRule="auto"/>
              <w:ind w:firstLine="851"/>
              <w:jc w:val="both"/>
              <w:rPr>
                <w:sz w:val="20"/>
                <w:szCs w:val="20"/>
              </w:rPr>
            </w:pPr>
            <w:r w:rsidRPr="000B2EC3">
              <w:rPr>
                <w:sz w:val="20"/>
                <w:szCs w:val="20"/>
              </w:rPr>
              <w:t>ITEM</w:t>
            </w:r>
          </w:p>
        </w:tc>
        <w:tc>
          <w:tcPr>
            <w:tcW w:w="1080" w:type="pct"/>
          </w:tcPr>
          <w:p w14:paraId="29D6999B" w14:textId="77777777" w:rsidR="000B2EC3" w:rsidRPr="000B2EC3" w:rsidRDefault="000B2EC3" w:rsidP="000B2EC3">
            <w:pPr>
              <w:spacing w:line="360" w:lineRule="auto"/>
              <w:ind w:firstLine="851"/>
              <w:jc w:val="both"/>
              <w:rPr>
                <w:b/>
                <w:bCs/>
                <w:sz w:val="20"/>
                <w:szCs w:val="20"/>
              </w:rPr>
            </w:pPr>
            <w:r w:rsidRPr="000B2EC3">
              <w:rPr>
                <w:b/>
                <w:bCs/>
                <w:sz w:val="20"/>
                <w:szCs w:val="20"/>
              </w:rPr>
              <w:t xml:space="preserve">FONTE </w:t>
            </w:r>
          </w:p>
        </w:tc>
        <w:tc>
          <w:tcPr>
            <w:tcW w:w="1656" w:type="pct"/>
          </w:tcPr>
          <w:p w14:paraId="28CFA494" w14:textId="77777777" w:rsidR="000B2EC3" w:rsidRPr="000B2EC3" w:rsidRDefault="000B2EC3" w:rsidP="000B2EC3">
            <w:pPr>
              <w:spacing w:line="360" w:lineRule="auto"/>
              <w:ind w:firstLine="851"/>
              <w:jc w:val="both"/>
              <w:rPr>
                <w:b/>
                <w:bCs/>
                <w:sz w:val="20"/>
                <w:szCs w:val="20"/>
              </w:rPr>
            </w:pPr>
            <w:r w:rsidRPr="000B2EC3">
              <w:rPr>
                <w:b/>
                <w:bCs/>
                <w:sz w:val="20"/>
                <w:szCs w:val="20"/>
              </w:rPr>
              <w:t>Município</w:t>
            </w:r>
          </w:p>
        </w:tc>
        <w:tc>
          <w:tcPr>
            <w:tcW w:w="624" w:type="pct"/>
          </w:tcPr>
          <w:p w14:paraId="40E99BDE" w14:textId="77777777" w:rsidR="000B2EC3" w:rsidRPr="000B2EC3" w:rsidRDefault="000B2EC3" w:rsidP="000B2EC3">
            <w:pPr>
              <w:spacing w:line="360" w:lineRule="auto"/>
              <w:jc w:val="both"/>
              <w:rPr>
                <w:b/>
                <w:bCs/>
                <w:sz w:val="20"/>
                <w:szCs w:val="20"/>
              </w:rPr>
            </w:pPr>
            <w:r w:rsidRPr="000B2EC3">
              <w:rPr>
                <w:b/>
                <w:bCs/>
                <w:sz w:val="20"/>
                <w:szCs w:val="20"/>
              </w:rPr>
              <w:t>VALOR</w:t>
            </w:r>
          </w:p>
        </w:tc>
      </w:tr>
      <w:tr w:rsidR="000B2EC3" w:rsidRPr="000B2EC3" w14:paraId="63AF55AE" w14:textId="77777777" w:rsidTr="00D1137B">
        <w:tc>
          <w:tcPr>
            <w:tcW w:w="390" w:type="pct"/>
            <w:vMerge w:val="restart"/>
          </w:tcPr>
          <w:p w14:paraId="66BC9B27" w14:textId="77777777" w:rsidR="000B2EC3" w:rsidRPr="000B2EC3" w:rsidRDefault="000B2EC3" w:rsidP="000B2EC3">
            <w:pPr>
              <w:numPr>
                <w:ilvl w:val="0"/>
                <w:numId w:val="6"/>
              </w:numPr>
              <w:spacing w:line="360" w:lineRule="auto"/>
              <w:jc w:val="both"/>
              <w:rPr>
                <w:sz w:val="20"/>
                <w:szCs w:val="20"/>
              </w:rPr>
            </w:pPr>
          </w:p>
        </w:tc>
        <w:tc>
          <w:tcPr>
            <w:tcW w:w="1250" w:type="pct"/>
            <w:vMerge w:val="restart"/>
          </w:tcPr>
          <w:p w14:paraId="040B201D" w14:textId="77777777" w:rsidR="000B2EC3" w:rsidRDefault="000B2EC3" w:rsidP="000B2EC3">
            <w:pPr>
              <w:spacing w:line="360" w:lineRule="auto"/>
              <w:jc w:val="both"/>
              <w:rPr>
                <w:sz w:val="20"/>
                <w:szCs w:val="20"/>
              </w:rPr>
            </w:pPr>
            <w:r w:rsidRPr="000B2EC3">
              <w:rPr>
                <w:sz w:val="20"/>
                <w:szCs w:val="20"/>
              </w:rPr>
              <w:t>Análise de laudo Pericial apresentado pelo Perito.</w:t>
            </w:r>
          </w:p>
          <w:p w14:paraId="6C990666" w14:textId="39AFFA32" w:rsidR="00D602F4" w:rsidRPr="000B2EC3" w:rsidRDefault="00D602F4" w:rsidP="000B2EC3">
            <w:pPr>
              <w:spacing w:line="360" w:lineRule="auto"/>
              <w:jc w:val="both"/>
              <w:rPr>
                <w:sz w:val="20"/>
                <w:szCs w:val="20"/>
              </w:rPr>
            </w:pPr>
            <w:r>
              <w:rPr>
                <w:sz w:val="20"/>
                <w:szCs w:val="20"/>
              </w:rPr>
              <w:t xml:space="preserve">20 cálculos. </w:t>
            </w:r>
          </w:p>
        </w:tc>
        <w:tc>
          <w:tcPr>
            <w:tcW w:w="1080" w:type="pct"/>
          </w:tcPr>
          <w:p w14:paraId="45977216" w14:textId="77777777" w:rsidR="000B2EC3" w:rsidRPr="000B2EC3" w:rsidRDefault="000B2EC3" w:rsidP="000B2EC3">
            <w:pPr>
              <w:spacing w:line="360" w:lineRule="auto"/>
              <w:jc w:val="both"/>
              <w:rPr>
                <w:sz w:val="20"/>
                <w:szCs w:val="20"/>
              </w:rPr>
            </w:pPr>
            <w:r w:rsidRPr="000B2EC3">
              <w:rPr>
                <w:sz w:val="20"/>
                <w:szCs w:val="20"/>
              </w:rPr>
              <w:t>LICITACON</w:t>
            </w:r>
          </w:p>
        </w:tc>
        <w:tc>
          <w:tcPr>
            <w:tcW w:w="1656" w:type="pct"/>
          </w:tcPr>
          <w:p w14:paraId="5E0099B8" w14:textId="77777777" w:rsidR="000B2EC3" w:rsidRPr="000B2EC3" w:rsidRDefault="000B2EC3" w:rsidP="000B2EC3">
            <w:pPr>
              <w:spacing w:line="360" w:lineRule="auto"/>
              <w:jc w:val="both"/>
              <w:rPr>
                <w:sz w:val="20"/>
                <w:szCs w:val="20"/>
              </w:rPr>
            </w:pPr>
            <w:r w:rsidRPr="000B2EC3">
              <w:rPr>
                <w:b/>
                <w:bCs/>
                <w:sz w:val="20"/>
                <w:szCs w:val="20"/>
              </w:rPr>
              <w:t xml:space="preserve">PM DE BOM RETIRO DO SUL, </w:t>
            </w:r>
            <w:proofErr w:type="gramStart"/>
            <w:r w:rsidRPr="000B2EC3">
              <w:rPr>
                <w:b/>
                <w:bCs/>
                <w:sz w:val="20"/>
                <w:szCs w:val="20"/>
              </w:rPr>
              <w:t>Modalidade :</w:t>
            </w:r>
            <w:proofErr w:type="gramEnd"/>
            <w:r w:rsidRPr="000B2EC3">
              <w:rPr>
                <w:b/>
                <w:bCs/>
                <w:sz w:val="20"/>
                <w:szCs w:val="20"/>
              </w:rPr>
              <w:t xml:space="preserve"> Processo de Dispensa, </w:t>
            </w:r>
            <w:proofErr w:type="spellStart"/>
            <w:r w:rsidRPr="000B2EC3">
              <w:rPr>
                <w:b/>
                <w:bCs/>
                <w:sz w:val="20"/>
                <w:szCs w:val="20"/>
              </w:rPr>
              <w:t>Nr</w:t>
            </w:r>
            <w:proofErr w:type="spellEnd"/>
            <w:r w:rsidRPr="000B2EC3">
              <w:rPr>
                <w:b/>
                <w:bCs/>
                <w:sz w:val="20"/>
                <w:szCs w:val="20"/>
              </w:rPr>
              <w:t>. : 94, Ano : 2024, Objeto : Outros Serviços, Abertura : 04/03/2024</w:t>
            </w:r>
          </w:p>
        </w:tc>
        <w:tc>
          <w:tcPr>
            <w:tcW w:w="624" w:type="pct"/>
          </w:tcPr>
          <w:p w14:paraId="58161EFB" w14:textId="77777777" w:rsidR="000B2EC3" w:rsidRPr="000B2EC3" w:rsidRDefault="000B2EC3" w:rsidP="000B2EC3">
            <w:pPr>
              <w:spacing w:line="360" w:lineRule="auto"/>
              <w:jc w:val="both"/>
              <w:rPr>
                <w:sz w:val="20"/>
                <w:szCs w:val="20"/>
              </w:rPr>
            </w:pPr>
            <w:r w:rsidRPr="000B2EC3">
              <w:rPr>
                <w:sz w:val="20"/>
                <w:szCs w:val="20"/>
              </w:rPr>
              <w:t xml:space="preserve">2.900,00 </w:t>
            </w:r>
            <w:proofErr w:type="spellStart"/>
            <w:r w:rsidRPr="000B2EC3">
              <w:rPr>
                <w:sz w:val="20"/>
                <w:szCs w:val="20"/>
              </w:rPr>
              <w:t>un</w:t>
            </w:r>
            <w:proofErr w:type="spellEnd"/>
          </w:p>
        </w:tc>
      </w:tr>
      <w:tr w:rsidR="000B2EC3" w:rsidRPr="000B2EC3" w14:paraId="611B75EE" w14:textId="77777777" w:rsidTr="00D1137B">
        <w:tc>
          <w:tcPr>
            <w:tcW w:w="390" w:type="pct"/>
            <w:vMerge/>
          </w:tcPr>
          <w:p w14:paraId="504DE053" w14:textId="77777777" w:rsidR="000B2EC3" w:rsidRPr="000B2EC3" w:rsidRDefault="000B2EC3" w:rsidP="000B2EC3">
            <w:pPr>
              <w:numPr>
                <w:ilvl w:val="0"/>
                <w:numId w:val="6"/>
              </w:numPr>
              <w:spacing w:line="360" w:lineRule="auto"/>
              <w:jc w:val="both"/>
              <w:rPr>
                <w:sz w:val="20"/>
                <w:szCs w:val="20"/>
              </w:rPr>
            </w:pPr>
          </w:p>
        </w:tc>
        <w:tc>
          <w:tcPr>
            <w:tcW w:w="1250" w:type="pct"/>
            <w:vMerge/>
          </w:tcPr>
          <w:p w14:paraId="56A3AD36" w14:textId="77777777" w:rsidR="000B2EC3" w:rsidRPr="000B2EC3" w:rsidRDefault="000B2EC3" w:rsidP="000B2EC3">
            <w:pPr>
              <w:spacing w:line="360" w:lineRule="auto"/>
              <w:ind w:firstLine="851"/>
              <w:jc w:val="both"/>
              <w:rPr>
                <w:sz w:val="20"/>
                <w:szCs w:val="20"/>
              </w:rPr>
            </w:pPr>
          </w:p>
        </w:tc>
        <w:tc>
          <w:tcPr>
            <w:tcW w:w="1080" w:type="pct"/>
          </w:tcPr>
          <w:p w14:paraId="6038E162" w14:textId="77777777" w:rsidR="000B2EC3" w:rsidRPr="000B2EC3" w:rsidRDefault="000B2EC3" w:rsidP="000B2EC3">
            <w:pPr>
              <w:spacing w:line="360" w:lineRule="auto"/>
              <w:jc w:val="both"/>
              <w:rPr>
                <w:sz w:val="20"/>
                <w:szCs w:val="20"/>
              </w:rPr>
            </w:pPr>
            <w:r w:rsidRPr="000B2EC3">
              <w:rPr>
                <w:sz w:val="20"/>
                <w:szCs w:val="20"/>
              </w:rPr>
              <w:t>LICITACON</w:t>
            </w:r>
          </w:p>
        </w:tc>
        <w:tc>
          <w:tcPr>
            <w:tcW w:w="1656" w:type="pct"/>
          </w:tcPr>
          <w:p w14:paraId="012B549B" w14:textId="77777777" w:rsidR="000B2EC3" w:rsidRPr="000B2EC3" w:rsidRDefault="000B2EC3" w:rsidP="000B2EC3">
            <w:pPr>
              <w:spacing w:line="360" w:lineRule="auto"/>
              <w:jc w:val="both"/>
              <w:rPr>
                <w:sz w:val="20"/>
                <w:szCs w:val="20"/>
              </w:rPr>
            </w:pPr>
            <w:r w:rsidRPr="000B2EC3">
              <w:rPr>
                <w:b/>
                <w:bCs/>
                <w:sz w:val="20"/>
                <w:szCs w:val="20"/>
              </w:rPr>
              <w:t xml:space="preserve">PM DE IVOTI, </w:t>
            </w:r>
            <w:proofErr w:type="gramStart"/>
            <w:r w:rsidRPr="000B2EC3">
              <w:rPr>
                <w:b/>
                <w:bCs/>
                <w:sz w:val="20"/>
                <w:szCs w:val="20"/>
              </w:rPr>
              <w:t>Modalidade :</w:t>
            </w:r>
            <w:proofErr w:type="gramEnd"/>
            <w:r w:rsidRPr="000B2EC3">
              <w:rPr>
                <w:b/>
                <w:bCs/>
                <w:sz w:val="20"/>
                <w:szCs w:val="20"/>
              </w:rPr>
              <w:t xml:space="preserve"> Processo de Dispensa, </w:t>
            </w:r>
            <w:proofErr w:type="spellStart"/>
            <w:r w:rsidRPr="000B2EC3">
              <w:rPr>
                <w:b/>
                <w:bCs/>
                <w:sz w:val="20"/>
                <w:szCs w:val="20"/>
              </w:rPr>
              <w:t>Nr</w:t>
            </w:r>
            <w:proofErr w:type="spellEnd"/>
            <w:r w:rsidRPr="000B2EC3">
              <w:rPr>
                <w:b/>
                <w:bCs/>
                <w:sz w:val="20"/>
                <w:szCs w:val="20"/>
              </w:rPr>
              <w:t>. : 177, Ano : 2024, Objeto : Outros Serviços, Abertura : 31/01/2024</w:t>
            </w:r>
          </w:p>
        </w:tc>
        <w:tc>
          <w:tcPr>
            <w:tcW w:w="624" w:type="pct"/>
          </w:tcPr>
          <w:p w14:paraId="76597647" w14:textId="77777777" w:rsidR="000B2EC3" w:rsidRPr="000B2EC3" w:rsidRDefault="000B2EC3" w:rsidP="000B2EC3">
            <w:pPr>
              <w:spacing w:line="360" w:lineRule="auto"/>
              <w:jc w:val="both"/>
              <w:rPr>
                <w:sz w:val="20"/>
                <w:szCs w:val="20"/>
              </w:rPr>
            </w:pPr>
            <w:r w:rsidRPr="000B2EC3">
              <w:rPr>
                <w:sz w:val="20"/>
                <w:szCs w:val="20"/>
              </w:rPr>
              <w:t>1.111,11</w:t>
            </w:r>
          </w:p>
        </w:tc>
      </w:tr>
      <w:bookmarkEnd w:id="2"/>
    </w:tbl>
    <w:p w14:paraId="729D2C12" w14:textId="10366FF0" w:rsidR="005B4B66" w:rsidRDefault="005B4B66" w:rsidP="00876CEC">
      <w:pPr>
        <w:spacing w:line="360" w:lineRule="auto"/>
        <w:ind w:firstLine="851"/>
        <w:jc w:val="both"/>
        <w:rPr>
          <w:sz w:val="22"/>
          <w:szCs w:val="22"/>
        </w:rPr>
      </w:pPr>
    </w:p>
    <w:p w14:paraId="6086FF6A" w14:textId="2062A962" w:rsidR="00F328EB" w:rsidRPr="00F328EB" w:rsidRDefault="00F328EB" w:rsidP="00F328EB">
      <w:pPr>
        <w:spacing w:line="360" w:lineRule="auto"/>
        <w:ind w:firstLine="709"/>
        <w:jc w:val="both"/>
        <w:rPr>
          <w:color w:val="000000" w:themeColor="text1"/>
          <w:sz w:val="22"/>
          <w:szCs w:val="22"/>
        </w:rPr>
      </w:pPr>
      <w:r>
        <w:rPr>
          <w:color w:val="000000" w:themeColor="text1"/>
          <w:sz w:val="22"/>
          <w:szCs w:val="22"/>
        </w:rPr>
        <w:t>A</w:t>
      </w:r>
      <w:r w:rsidRPr="000B2EC3">
        <w:rPr>
          <w:color w:val="000000" w:themeColor="text1"/>
          <w:sz w:val="22"/>
          <w:szCs w:val="22"/>
        </w:rPr>
        <w:t xml:space="preserve"> proposta do trabalho </w:t>
      </w:r>
      <w:r>
        <w:rPr>
          <w:color w:val="000000" w:themeColor="text1"/>
          <w:sz w:val="22"/>
          <w:szCs w:val="22"/>
        </w:rPr>
        <w:t xml:space="preserve">apresentada </w:t>
      </w:r>
      <w:r w:rsidRPr="000B2EC3">
        <w:rPr>
          <w:color w:val="000000" w:themeColor="text1"/>
          <w:sz w:val="22"/>
          <w:szCs w:val="22"/>
        </w:rPr>
        <w:t>é o equivalente a R$ 700,00 (setecentos reais) por cálculo analisado, totalizando o valor de R$ 14.000,00 (quatorze mil reais)</w:t>
      </w:r>
      <w:r>
        <w:rPr>
          <w:color w:val="000000" w:themeColor="text1"/>
          <w:sz w:val="22"/>
          <w:szCs w:val="22"/>
        </w:rPr>
        <w:t>.</w:t>
      </w:r>
    </w:p>
    <w:p w14:paraId="15B30825" w14:textId="131433C6" w:rsidR="005B4B66" w:rsidRDefault="00F328EB" w:rsidP="00F328EB">
      <w:pPr>
        <w:spacing w:line="360" w:lineRule="auto"/>
        <w:ind w:firstLine="851"/>
        <w:jc w:val="both"/>
        <w:rPr>
          <w:sz w:val="22"/>
          <w:szCs w:val="22"/>
        </w:rPr>
      </w:pPr>
      <w:r>
        <w:rPr>
          <w:sz w:val="22"/>
          <w:szCs w:val="22"/>
        </w:rPr>
        <w:lastRenderedPageBreak/>
        <w:t>Afim de comprovação do valor</w:t>
      </w:r>
      <w:r w:rsidR="00A15AE4">
        <w:rPr>
          <w:sz w:val="22"/>
          <w:szCs w:val="22"/>
        </w:rPr>
        <w:t>, foram juntadas ao processo cópias de Notas Fiscais de prestação de serviços semelhantes efetuados pelo contratado, onde os valores demonstram ser</w:t>
      </w:r>
      <w:r w:rsidR="00876CEC" w:rsidRPr="00876CEC">
        <w:rPr>
          <w:sz w:val="22"/>
          <w:szCs w:val="22"/>
        </w:rPr>
        <w:t xml:space="preserve"> compatíveis com os preços praticados no mercado para </w:t>
      </w:r>
      <w:r w:rsidR="000B1A09">
        <w:rPr>
          <w:sz w:val="22"/>
          <w:szCs w:val="22"/>
        </w:rPr>
        <w:t>contratações</w:t>
      </w:r>
      <w:r w:rsidR="00876CEC" w:rsidRPr="00876CEC">
        <w:rPr>
          <w:sz w:val="22"/>
          <w:szCs w:val="22"/>
        </w:rPr>
        <w:t xml:space="preserve"> similares ao que será contratado pelo município de </w:t>
      </w:r>
      <w:r w:rsidR="00876CEC">
        <w:rPr>
          <w:sz w:val="22"/>
          <w:szCs w:val="22"/>
        </w:rPr>
        <w:t>Miraguaí</w:t>
      </w:r>
      <w:r w:rsidR="00876CEC" w:rsidRPr="00876CEC">
        <w:rPr>
          <w:sz w:val="22"/>
          <w:szCs w:val="22"/>
        </w:rPr>
        <w:t>, neste processo de inexigibilidade</w:t>
      </w:r>
      <w:r w:rsidR="00CD6385">
        <w:rPr>
          <w:sz w:val="22"/>
          <w:szCs w:val="22"/>
        </w:rPr>
        <w:t xml:space="preserve">, nos termos do artigo 23, §4º, da Lei 14.133/2021. </w:t>
      </w:r>
    </w:p>
    <w:p w14:paraId="6A6379C2" w14:textId="77777777" w:rsidR="00876CEC" w:rsidRPr="00DC7978" w:rsidRDefault="00876CEC" w:rsidP="00876CEC">
      <w:pPr>
        <w:spacing w:line="360" w:lineRule="auto"/>
        <w:ind w:firstLine="851"/>
        <w:jc w:val="both"/>
        <w:rPr>
          <w:sz w:val="22"/>
          <w:szCs w:val="22"/>
        </w:rPr>
      </w:pPr>
    </w:p>
    <w:p w14:paraId="2288EE25"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SANÇÕES ADMINISTRATIVAS</w:t>
      </w:r>
    </w:p>
    <w:p w14:paraId="7A24D176" w14:textId="4F6462AB" w:rsidR="00E36F1E" w:rsidRDefault="00E36F1E" w:rsidP="005F2236">
      <w:pPr>
        <w:spacing w:line="360" w:lineRule="auto"/>
        <w:ind w:firstLine="851"/>
        <w:jc w:val="both"/>
        <w:rPr>
          <w:sz w:val="22"/>
          <w:szCs w:val="22"/>
        </w:rPr>
      </w:pPr>
      <w:r w:rsidRPr="00DC7978">
        <w:rPr>
          <w:sz w:val="22"/>
          <w:szCs w:val="22"/>
        </w:rPr>
        <w:t>Nos casos de atrasos injustificados ou inexecução total ou parcial dos compromissos assumidos com a Administração aplicar-se-ão as sanções administrativas estabelecidas pela Lei nº 14.133/2021</w:t>
      </w:r>
      <w:r w:rsidR="00E47736">
        <w:rPr>
          <w:sz w:val="22"/>
          <w:szCs w:val="22"/>
        </w:rPr>
        <w:t xml:space="preserve"> e no Decreto 2.369/2023. </w:t>
      </w:r>
    </w:p>
    <w:p w14:paraId="0B20091A" w14:textId="77777777" w:rsidR="00EA3FB1" w:rsidRPr="00DC7978" w:rsidRDefault="00EA3FB1" w:rsidP="005F2236">
      <w:pPr>
        <w:spacing w:line="360" w:lineRule="auto"/>
        <w:ind w:firstLine="851"/>
        <w:jc w:val="both"/>
        <w:rPr>
          <w:sz w:val="22"/>
          <w:szCs w:val="22"/>
        </w:rPr>
      </w:pPr>
    </w:p>
    <w:p w14:paraId="0758B0CF" w14:textId="1532DFCA" w:rsidR="00E36F1E" w:rsidRPr="00DC7978" w:rsidRDefault="00753976" w:rsidP="005F2236">
      <w:pPr>
        <w:pStyle w:val="PargrafodaLista"/>
        <w:numPr>
          <w:ilvl w:val="0"/>
          <w:numId w:val="1"/>
        </w:numPr>
        <w:spacing w:after="0" w:line="360" w:lineRule="auto"/>
        <w:ind w:left="0" w:firstLine="851"/>
        <w:jc w:val="both"/>
        <w:rPr>
          <w:rFonts w:ascii="Times New Roman" w:hAnsi="Times New Roman"/>
          <w:b/>
          <w:bCs/>
        </w:rPr>
      </w:pPr>
      <w:r>
        <w:rPr>
          <w:rFonts w:ascii="Times New Roman" w:hAnsi="Times New Roman"/>
          <w:b/>
          <w:bCs/>
        </w:rPr>
        <w:t xml:space="preserve">PRAZO DO </w:t>
      </w:r>
      <w:r w:rsidR="00E36F1E" w:rsidRPr="00DC7978">
        <w:rPr>
          <w:rFonts w:ascii="Times New Roman" w:hAnsi="Times New Roman"/>
          <w:b/>
          <w:bCs/>
        </w:rPr>
        <w:t>CONTRATO</w:t>
      </w:r>
    </w:p>
    <w:p w14:paraId="03A060E8" w14:textId="256E7088" w:rsidR="00E36F1E" w:rsidRDefault="00753976" w:rsidP="005F2236">
      <w:pPr>
        <w:spacing w:line="360" w:lineRule="auto"/>
        <w:ind w:firstLine="851"/>
        <w:jc w:val="both"/>
        <w:rPr>
          <w:sz w:val="22"/>
          <w:szCs w:val="22"/>
        </w:rPr>
      </w:pPr>
      <w:r w:rsidRPr="00753976">
        <w:rPr>
          <w:sz w:val="22"/>
          <w:szCs w:val="22"/>
        </w:rPr>
        <w:t xml:space="preserve">O prazo para a realização dos serviços será de </w:t>
      </w:r>
      <w:r w:rsidR="00476951">
        <w:rPr>
          <w:sz w:val="22"/>
          <w:szCs w:val="22"/>
        </w:rPr>
        <w:t>até a data de 20 de fevereiro de 2025.</w:t>
      </w:r>
    </w:p>
    <w:p w14:paraId="64846A0E" w14:textId="77777777" w:rsidR="00753976" w:rsidRPr="00DC7978" w:rsidRDefault="00753976" w:rsidP="005F2236">
      <w:pPr>
        <w:spacing w:line="360" w:lineRule="auto"/>
        <w:ind w:firstLine="851"/>
        <w:jc w:val="both"/>
        <w:rPr>
          <w:color w:val="000000" w:themeColor="text1"/>
          <w:sz w:val="22"/>
          <w:szCs w:val="22"/>
        </w:rPr>
      </w:pPr>
    </w:p>
    <w:p w14:paraId="3AB25429"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color w:val="000000" w:themeColor="text1"/>
        </w:rPr>
      </w:pPr>
      <w:r w:rsidRPr="00DC7978">
        <w:rPr>
          <w:rFonts w:ascii="Times New Roman" w:hAnsi="Times New Roman"/>
          <w:b/>
          <w:bCs/>
          <w:color w:val="000000" w:themeColor="text1"/>
        </w:rPr>
        <w:t>DA FISCALIZAÇÃO DO CONTRATO</w:t>
      </w:r>
    </w:p>
    <w:p w14:paraId="1BAD4A6C" w14:textId="77777777" w:rsidR="00CA4B9A" w:rsidRPr="00DC7978" w:rsidRDefault="00CA4B9A" w:rsidP="005F2236">
      <w:pPr>
        <w:spacing w:line="360" w:lineRule="auto"/>
        <w:ind w:firstLine="851"/>
        <w:jc w:val="both"/>
        <w:rPr>
          <w:rFonts w:eastAsia="Arial"/>
          <w:color w:val="000000"/>
          <w:kern w:val="2"/>
          <w:sz w:val="22"/>
          <w:szCs w:val="22"/>
          <w14:ligatures w14:val="standardContextual"/>
        </w:rPr>
      </w:pPr>
      <w:r w:rsidRPr="00DC7978">
        <w:rPr>
          <w:rFonts w:eastAsia="Arial"/>
          <w:color w:val="000000"/>
          <w:kern w:val="2"/>
          <w:sz w:val="22"/>
          <w:szCs w:val="22"/>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20CD51E" w14:textId="77777777" w:rsidR="00CA4B9A" w:rsidRPr="00DC7978" w:rsidRDefault="00CA4B9A" w:rsidP="005F2236">
      <w:pPr>
        <w:spacing w:line="360" w:lineRule="auto"/>
        <w:ind w:firstLine="851"/>
        <w:jc w:val="both"/>
        <w:rPr>
          <w:kern w:val="2"/>
          <w:sz w:val="22"/>
          <w:szCs w:val="22"/>
          <w14:ligatures w14:val="standardContextual"/>
        </w:rPr>
      </w:pPr>
      <w:r w:rsidRPr="00DC7978">
        <w:rPr>
          <w:kern w:val="2"/>
          <w:sz w:val="22"/>
          <w:szCs w:val="22"/>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2158CF78" w14:textId="1530FCAA" w:rsidR="00CA4B9A" w:rsidRPr="00DC7978" w:rsidRDefault="00CA4B9A" w:rsidP="005F2236">
      <w:pPr>
        <w:spacing w:line="360" w:lineRule="auto"/>
        <w:ind w:firstLine="851"/>
        <w:jc w:val="both"/>
        <w:rPr>
          <w:kern w:val="2"/>
          <w:sz w:val="22"/>
          <w:szCs w:val="22"/>
          <w14:ligatures w14:val="standardContextual"/>
        </w:rPr>
      </w:pPr>
      <w:r w:rsidRPr="00DC7978">
        <w:rPr>
          <w:kern w:val="2"/>
          <w:sz w:val="22"/>
          <w:szCs w:val="22"/>
          <w14:ligatures w14:val="standardContextual"/>
        </w:rPr>
        <w:t xml:space="preserve">Dessa forma, a fiscalização do contrato ficará a cargo da Secretaria Municipal de </w:t>
      </w:r>
      <w:r w:rsidR="00753976">
        <w:rPr>
          <w:kern w:val="2"/>
          <w:sz w:val="22"/>
          <w:szCs w:val="22"/>
          <w14:ligatures w14:val="standardContextual"/>
        </w:rPr>
        <w:t>Administração</w:t>
      </w:r>
      <w:r w:rsidR="00242D8C">
        <w:rPr>
          <w:kern w:val="2"/>
          <w:sz w:val="22"/>
          <w:szCs w:val="22"/>
          <w14:ligatures w14:val="standardContextual"/>
        </w:rPr>
        <w:t xml:space="preserve">. </w:t>
      </w:r>
    </w:p>
    <w:p w14:paraId="24347FEC" w14:textId="77777777" w:rsidR="00CA4B9A" w:rsidRPr="00DC7978" w:rsidRDefault="00CA4B9A" w:rsidP="005F2236">
      <w:pPr>
        <w:ind w:firstLine="851"/>
        <w:jc w:val="both"/>
        <w:rPr>
          <w:rFonts w:eastAsia="Arial"/>
          <w:color w:val="000000"/>
          <w:kern w:val="2"/>
          <w:sz w:val="22"/>
          <w:szCs w:val="22"/>
          <w14:ligatures w14:val="standardContextual"/>
        </w:rPr>
      </w:pPr>
    </w:p>
    <w:p w14:paraId="1ECF78A9"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OBRIGAÇÕES DA CONTRATANTE</w:t>
      </w:r>
    </w:p>
    <w:p w14:paraId="1854A05F" w14:textId="11110A81" w:rsidR="00E36F1E" w:rsidRPr="001872E9" w:rsidRDefault="00CA4B9A" w:rsidP="001872E9">
      <w:pPr>
        <w:spacing w:line="360" w:lineRule="auto"/>
        <w:jc w:val="both"/>
        <w:rPr>
          <w:sz w:val="22"/>
          <w:szCs w:val="22"/>
        </w:rPr>
      </w:pPr>
      <w:r w:rsidRPr="001872E9">
        <w:rPr>
          <w:sz w:val="22"/>
          <w:szCs w:val="22"/>
        </w:rPr>
        <w:t>10</w:t>
      </w:r>
      <w:r w:rsidR="00E36F1E" w:rsidRPr="001872E9">
        <w:rPr>
          <w:sz w:val="22"/>
          <w:szCs w:val="22"/>
        </w:rPr>
        <w:t>.1 Comunicar à empresa todas e quaisquer ocorrências relacionadas com a prestação do serviço objeto deste Termo de Referência;</w:t>
      </w:r>
    </w:p>
    <w:p w14:paraId="0199201A" w14:textId="6E7ACE2E" w:rsidR="00E36F1E" w:rsidRPr="001872E9" w:rsidRDefault="00CA4B9A" w:rsidP="001872E9">
      <w:pPr>
        <w:spacing w:line="360" w:lineRule="auto"/>
        <w:jc w:val="both"/>
        <w:rPr>
          <w:sz w:val="22"/>
          <w:szCs w:val="22"/>
        </w:rPr>
      </w:pPr>
      <w:r w:rsidRPr="001872E9">
        <w:rPr>
          <w:sz w:val="22"/>
          <w:szCs w:val="22"/>
        </w:rPr>
        <w:t>10</w:t>
      </w:r>
      <w:r w:rsidR="00E36F1E" w:rsidRPr="001872E9">
        <w:rPr>
          <w:sz w:val="22"/>
          <w:szCs w:val="22"/>
        </w:rPr>
        <w:t xml:space="preserve">.2 Efetuar o pagamento à contratada </w:t>
      </w:r>
      <w:r w:rsidR="007D6975" w:rsidRPr="001872E9">
        <w:rPr>
          <w:sz w:val="22"/>
          <w:szCs w:val="22"/>
        </w:rPr>
        <w:t>em até 10 dias após empenho da nota fiscal.</w:t>
      </w:r>
    </w:p>
    <w:p w14:paraId="2C715333" w14:textId="77777777" w:rsidR="001872E9" w:rsidRDefault="00CA4B9A" w:rsidP="001872E9">
      <w:pPr>
        <w:spacing w:line="360" w:lineRule="auto"/>
        <w:jc w:val="both"/>
        <w:rPr>
          <w:sz w:val="22"/>
          <w:szCs w:val="22"/>
        </w:rPr>
      </w:pPr>
      <w:r w:rsidRPr="001872E9">
        <w:rPr>
          <w:sz w:val="22"/>
          <w:szCs w:val="22"/>
        </w:rPr>
        <w:t>10</w:t>
      </w:r>
      <w:r w:rsidR="00E36F1E" w:rsidRPr="001872E9">
        <w:rPr>
          <w:sz w:val="22"/>
          <w:szCs w:val="22"/>
        </w:rPr>
        <w:t>.3 Fi</w:t>
      </w:r>
      <w:r w:rsidR="00553276" w:rsidRPr="001872E9">
        <w:rPr>
          <w:sz w:val="22"/>
          <w:szCs w:val="22"/>
        </w:rPr>
        <w:t>scalizar a prestação do serviço.</w:t>
      </w:r>
    </w:p>
    <w:p w14:paraId="3FE672A5" w14:textId="6823A785" w:rsidR="001872E9" w:rsidRPr="001872E9" w:rsidRDefault="001872E9" w:rsidP="001872E9">
      <w:pPr>
        <w:spacing w:line="360" w:lineRule="auto"/>
        <w:jc w:val="both"/>
        <w:rPr>
          <w:sz w:val="22"/>
          <w:szCs w:val="22"/>
        </w:rPr>
      </w:pPr>
      <w:r>
        <w:rPr>
          <w:sz w:val="22"/>
          <w:szCs w:val="22"/>
        </w:rPr>
        <w:t xml:space="preserve">10.4 </w:t>
      </w:r>
      <w:proofErr w:type="spellStart"/>
      <w:r w:rsidRPr="001872E9">
        <w:rPr>
          <w:sz w:val="22"/>
          <w:szCs w:val="22"/>
        </w:rPr>
        <w:t>Fornecer</w:t>
      </w:r>
      <w:proofErr w:type="spellEnd"/>
      <w:r w:rsidRPr="001872E9">
        <w:rPr>
          <w:sz w:val="22"/>
          <w:szCs w:val="22"/>
        </w:rPr>
        <w:t xml:space="preserve"> ao auditor todos os documentos necessários à realização da conferência dos cálculos;</w:t>
      </w:r>
    </w:p>
    <w:p w14:paraId="4B09E527" w14:textId="01D60A34" w:rsidR="001872E9" w:rsidRPr="001872E9" w:rsidRDefault="001872E9" w:rsidP="001872E9">
      <w:pPr>
        <w:spacing w:line="360" w:lineRule="auto"/>
        <w:jc w:val="both"/>
        <w:rPr>
          <w:sz w:val="22"/>
          <w:szCs w:val="22"/>
        </w:rPr>
      </w:pPr>
      <w:r>
        <w:rPr>
          <w:rFonts w:hAnsi="Symbol"/>
          <w:sz w:val="22"/>
          <w:szCs w:val="22"/>
        </w:rPr>
        <w:t xml:space="preserve">10.5 </w:t>
      </w:r>
      <w:r w:rsidRPr="001872E9">
        <w:rPr>
          <w:sz w:val="22"/>
          <w:szCs w:val="22"/>
        </w:rPr>
        <w:t>Garantir o acesso às informações complementares necessárias à análise, caso solicitado.</w:t>
      </w:r>
    </w:p>
    <w:p w14:paraId="390E97F5" w14:textId="77777777" w:rsidR="00AA2E1E" w:rsidRDefault="00AA2E1E" w:rsidP="005F2236">
      <w:pPr>
        <w:spacing w:line="360" w:lineRule="auto"/>
        <w:ind w:firstLine="851"/>
        <w:jc w:val="both"/>
        <w:rPr>
          <w:sz w:val="22"/>
          <w:szCs w:val="22"/>
        </w:rPr>
      </w:pPr>
    </w:p>
    <w:p w14:paraId="41469A9A" w14:textId="57983E01" w:rsidR="00E36F1E" w:rsidRPr="00AA2E1E" w:rsidRDefault="00AA2E1E" w:rsidP="005F2236">
      <w:pPr>
        <w:spacing w:line="360" w:lineRule="auto"/>
        <w:ind w:firstLine="851"/>
        <w:jc w:val="both"/>
        <w:rPr>
          <w:sz w:val="22"/>
          <w:szCs w:val="22"/>
        </w:rPr>
      </w:pPr>
      <w:r w:rsidRPr="00AA2E1E">
        <w:rPr>
          <w:b/>
          <w:bCs/>
          <w:sz w:val="22"/>
          <w:szCs w:val="22"/>
        </w:rPr>
        <w:t xml:space="preserve">11. </w:t>
      </w:r>
      <w:r w:rsidR="00E36F1E" w:rsidRPr="00AA2E1E">
        <w:rPr>
          <w:b/>
          <w:bCs/>
        </w:rPr>
        <w:t>OBRIGAÇÕES</w:t>
      </w:r>
      <w:r w:rsidR="00E36F1E" w:rsidRPr="00DC7978">
        <w:rPr>
          <w:b/>
          <w:bCs/>
        </w:rPr>
        <w:t xml:space="preserve"> DA CONTRATADA</w:t>
      </w:r>
    </w:p>
    <w:p w14:paraId="7A4B33B9" w14:textId="533FB3EA" w:rsidR="00980CB6" w:rsidRDefault="00980CB6" w:rsidP="005F2236">
      <w:pPr>
        <w:spacing w:line="360" w:lineRule="auto"/>
        <w:ind w:firstLine="851"/>
        <w:jc w:val="both"/>
        <w:rPr>
          <w:sz w:val="22"/>
          <w:szCs w:val="22"/>
        </w:rPr>
      </w:pPr>
      <w:r>
        <w:rPr>
          <w:sz w:val="22"/>
          <w:szCs w:val="22"/>
        </w:rPr>
        <w:t xml:space="preserve">11.1 </w:t>
      </w:r>
      <w:r w:rsidRPr="00980CB6">
        <w:rPr>
          <w:sz w:val="22"/>
          <w:szCs w:val="22"/>
        </w:rPr>
        <w:t>O Contratado deve cumprir todas as obrigações constantes d</w:t>
      </w:r>
      <w:r w:rsidR="001872E9">
        <w:rPr>
          <w:sz w:val="22"/>
          <w:szCs w:val="22"/>
        </w:rPr>
        <w:t>o</w:t>
      </w:r>
      <w:r w:rsidRPr="00980CB6">
        <w:rPr>
          <w:sz w:val="22"/>
          <w:szCs w:val="22"/>
        </w:rPr>
        <w:t xml:space="preserve"> Contrato e em seus anexos, assumindo como exclusivamente seus os riscos e as despesas decorrentes da boa e perfeita execução do objeto, observando, ainda, as obrigações a seguir dispostas: </w:t>
      </w:r>
    </w:p>
    <w:p w14:paraId="6F650ED1" w14:textId="77777777" w:rsidR="00980CB6" w:rsidRDefault="00980CB6" w:rsidP="005F2236">
      <w:pPr>
        <w:spacing w:line="360" w:lineRule="auto"/>
        <w:ind w:firstLine="851"/>
        <w:jc w:val="both"/>
        <w:rPr>
          <w:sz w:val="22"/>
          <w:szCs w:val="22"/>
        </w:rPr>
      </w:pPr>
      <w:r>
        <w:rPr>
          <w:sz w:val="22"/>
          <w:szCs w:val="22"/>
        </w:rPr>
        <w:t>11</w:t>
      </w:r>
      <w:r w:rsidRPr="00980CB6">
        <w:rPr>
          <w:sz w:val="22"/>
          <w:szCs w:val="22"/>
        </w:rPr>
        <w:t xml:space="preserve">.2 Responsabilizar-se pelos vícios e danos decorrentes do objeto, de acordo com o Código de Defesa do Consumidor (Lei nº 8.078, de 1990); </w:t>
      </w:r>
    </w:p>
    <w:p w14:paraId="0348AD38" w14:textId="77777777" w:rsidR="00980CB6" w:rsidRDefault="00980CB6" w:rsidP="005F2236">
      <w:pPr>
        <w:spacing w:line="360" w:lineRule="auto"/>
        <w:ind w:firstLine="851"/>
        <w:jc w:val="both"/>
        <w:rPr>
          <w:sz w:val="22"/>
          <w:szCs w:val="22"/>
        </w:rPr>
      </w:pPr>
      <w:r>
        <w:rPr>
          <w:sz w:val="22"/>
          <w:szCs w:val="22"/>
        </w:rPr>
        <w:t>11.3</w:t>
      </w:r>
      <w:r w:rsidRPr="00980CB6">
        <w:rPr>
          <w:sz w:val="22"/>
          <w:szCs w:val="22"/>
        </w:rPr>
        <w:t xml:space="preserve"> Atender às determinações regulares emitidas pelo fiscal ou gestor do contrato ou autoridade superior (art. 137, II, da Lei n.º 14.133, de 2021) e prestar todo esclarecimento ou informação por eles solicitados;</w:t>
      </w:r>
    </w:p>
    <w:p w14:paraId="1FBCEADF" w14:textId="77777777" w:rsidR="00980CB6" w:rsidRDefault="00980CB6" w:rsidP="005F2236">
      <w:pPr>
        <w:spacing w:line="360" w:lineRule="auto"/>
        <w:ind w:firstLine="851"/>
        <w:jc w:val="both"/>
        <w:rPr>
          <w:sz w:val="22"/>
          <w:szCs w:val="22"/>
        </w:rPr>
      </w:pPr>
      <w:r w:rsidRPr="00980CB6">
        <w:rPr>
          <w:sz w:val="22"/>
          <w:szCs w:val="22"/>
        </w:rPr>
        <w:t xml:space="preserve"> </w:t>
      </w:r>
      <w:r>
        <w:rPr>
          <w:sz w:val="22"/>
          <w:szCs w:val="22"/>
        </w:rPr>
        <w:t>11.4</w:t>
      </w:r>
      <w:r w:rsidRPr="00980CB6">
        <w:rPr>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 </w:t>
      </w:r>
    </w:p>
    <w:p w14:paraId="32DEBEDB" w14:textId="7A30126A" w:rsidR="00980CB6" w:rsidRDefault="00173C4E" w:rsidP="005F2236">
      <w:pPr>
        <w:spacing w:line="360" w:lineRule="auto"/>
        <w:ind w:firstLine="851"/>
        <w:jc w:val="both"/>
        <w:rPr>
          <w:sz w:val="22"/>
          <w:szCs w:val="22"/>
        </w:rPr>
      </w:pPr>
      <w:r>
        <w:rPr>
          <w:sz w:val="22"/>
          <w:szCs w:val="22"/>
        </w:rPr>
        <w:t>11.5</w:t>
      </w:r>
      <w:r w:rsidR="00980CB6" w:rsidRPr="00980CB6">
        <w:rPr>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0C68D868" w14:textId="06FE0C27" w:rsidR="00553276" w:rsidRDefault="00173C4E" w:rsidP="005F2236">
      <w:pPr>
        <w:spacing w:line="360" w:lineRule="auto"/>
        <w:ind w:firstLine="851"/>
        <w:jc w:val="both"/>
        <w:rPr>
          <w:sz w:val="22"/>
          <w:szCs w:val="22"/>
        </w:rPr>
      </w:pPr>
      <w:r>
        <w:rPr>
          <w:sz w:val="22"/>
          <w:szCs w:val="22"/>
        </w:rPr>
        <w:t>11.6</w:t>
      </w:r>
      <w:r w:rsidR="00980CB6" w:rsidRPr="00980CB6">
        <w:rPr>
          <w:sz w:val="22"/>
          <w:szCs w:val="22"/>
        </w:rPr>
        <w:t xml:space="preserve"> Manter durante toda a vigência do contrato, em compatibilidade com as obrigações assumidas, todas as condições exigidas para habilitação na licitação.</w:t>
      </w:r>
    </w:p>
    <w:p w14:paraId="13352F6A" w14:textId="1E1BD769" w:rsidR="001872E9" w:rsidRPr="001872E9" w:rsidRDefault="001872E9" w:rsidP="001872E9">
      <w:pPr>
        <w:spacing w:line="360" w:lineRule="auto"/>
        <w:ind w:firstLine="851"/>
        <w:jc w:val="both"/>
        <w:rPr>
          <w:sz w:val="22"/>
          <w:szCs w:val="22"/>
        </w:rPr>
      </w:pPr>
      <w:r>
        <w:rPr>
          <w:sz w:val="22"/>
          <w:szCs w:val="22"/>
        </w:rPr>
        <w:t>11.7 R</w:t>
      </w:r>
      <w:r w:rsidRPr="001872E9">
        <w:rPr>
          <w:sz w:val="22"/>
          <w:szCs w:val="22"/>
        </w:rPr>
        <w:t>ealizar a conferência dos cálculos de forma detalhada, com imparcialidade e precisão;</w:t>
      </w:r>
    </w:p>
    <w:p w14:paraId="7A68B844" w14:textId="52BB5276" w:rsidR="001872E9" w:rsidRPr="001872E9" w:rsidRDefault="001872E9" w:rsidP="001872E9">
      <w:pPr>
        <w:spacing w:line="360" w:lineRule="auto"/>
        <w:ind w:firstLine="851"/>
        <w:jc w:val="both"/>
        <w:rPr>
          <w:sz w:val="22"/>
          <w:szCs w:val="22"/>
        </w:rPr>
      </w:pPr>
      <w:r>
        <w:rPr>
          <w:sz w:val="22"/>
          <w:szCs w:val="22"/>
        </w:rPr>
        <w:t xml:space="preserve">11.8 </w:t>
      </w:r>
      <w:r w:rsidRPr="001872E9">
        <w:rPr>
          <w:sz w:val="22"/>
          <w:szCs w:val="22"/>
        </w:rPr>
        <w:t>Apresentar relatórios técnicos completos e claros, com as conclusões de sua análise;</w:t>
      </w:r>
    </w:p>
    <w:p w14:paraId="0AC95481" w14:textId="02A4DFAA" w:rsidR="001872E9" w:rsidRDefault="001872E9" w:rsidP="001872E9">
      <w:pPr>
        <w:spacing w:line="360" w:lineRule="auto"/>
        <w:ind w:firstLine="851"/>
        <w:jc w:val="both"/>
        <w:rPr>
          <w:sz w:val="22"/>
          <w:szCs w:val="22"/>
        </w:rPr>
      </w:pPr>
      <w:r>
        <w:rPr>
          <w:sz w:val="22"/>
          <w:szCs w:val="22"/>
        </w:rPr>
        <w:t xml:space="preserve">11.9 </w:t>
      </w:r>
      <w:r w:rsidRPr="001872E9">
        <w:rPr>
          <w:sz w:val="22"/>
          <w:szCs w:val="22"/>
        </w:rPr>
        <w:t>Manter sigilo sobre todas as informações obtidas durante a execução do serviço.</w:t>
      </w:r>
    </w:p>
    <w:p w14:paraId="52553470" w14:textId="77777777" w:rsidR="00980CB6" w:rsidRPr="00DC7978" w:rsidRDefault="00980CB6" w:rsidP="005F2236">
      <w:pPr>
        <w:spacing w:line="360" w:lineRule="auto"/>
        <w:ind w:firstLine="851"/>
        <w:jc w:val="both"/>
        <w:rPr>
          <w:sz w:val="22"/>
          <w:szCs w:val="22"/>
        </w:rPr>
      </w:pPr>
    </w:p>
    <w:p w14:paraId="704E1A29" w14:textId="7C10FB93" w:rsidR="00E36F1E" w:rsidRPr="00DC7978" w:rsidRDefault="00EB3259" w:rsidP="005F2236">
      <w:pPr>
        <w:spacing w:line="360" w:lineRule="auto"/>
        <w:ind w:firstLine="851"/>
        <w:jc w:val="both"/>
        <w:rPr>
          <w:b/>
          <w:bCs/>
          <w:sz w:val="22"/>
          <w:szCs w:val="22"/>
        </w:rPr>
      </w:pPr>
      <w:r w:rsidRPr="00DC7978">
        <w:rPr>
          <w:b/>
          <w:bCs/>
          <w:sz w:val="22"/>
          <w:szCs w:val="22"/>
        </w:rPr>
        <w:t xml:space="preserve">12 </w:t>
      </w:r>
      <w:r w:rsidR="00E36F1E" w:rsidRPr="00DC7978">
        <w:rPr>
          <w:b/>
          <w:bCs/>
          <w:sz w:val="22"/>
          <w:szCs w:val="22"/>
        </w:rPr>
        <w:t>FORMA DE PAGAMENTO</w:t>
      </w:r>
    </w:p>
    <w:p w14:paraId="6B8ED68D" w14:textId="4B4A836A" w:rsidR="0050451C" w:rsidRDefault="001872E9" w:rsidP="005F2236">
      <w:pPr>
        <w:spacing w:line="360" w:lineRule="auto"/>
        <w:ind w:firstLine="851"/>
        <w:jc w:val="both"/>
        <w:rPr>
          <w:sz w:val="22"/>
          <w:szCs w:val="22"/>
        </w:rPr>
      </w:pPr>
      <w:r>
        <w:rPr>
          <w:sz w:val="22"/>
          <w:szCs w:val="22"/>
        </w:rPr>
        <w:t xml:space="preserve">A </w:t>
      </w:r>
      <w:r w:rsidRPr="001872E9">
        <w:rPr>
          <w:sz w:val="22"/>
          <w:szCs w:val="22"/>
        </w:rPr>
        <w:t xml:space="preserve">fatura com a emissão da NFS-e </w:t>
      </w:r>
      <w:r w:rsidR="0070095C">
        <w:rPr>
          <w:sz w:val="22"/>
          <w:szCs w:val="22"/>
        </w:rPr>
        <w:t>deverá ser</w:t>
      </w:r>
      <w:r w:rsidRPr="001872E9">
        <w:rPr>
          <w:sz w:val="22"/>
          <w:szCs w:val="22"/>
        </w:rPr>
        <w:t xml:space="preserve"> emitida somente após a entrega</w:t>
      </w:r>
      <w:r w:rsidR="0070095C">
        <w:rPr>
          <w:sz w:val="22"/>
          <w:szCs w:val="22"/>
        </w:rPr>
        <w:t xml:space="preserve"> do</w:t>
      </w:r>
      <w:r w:rsidRPr="001872E9">
        <w:rPr>
          <w:sz w:val="22"/>
          <w:szCs w:val="22"/>
        </w:rPr>
        <w:t xml:space="preserve"> trabalho realizado, respeitando a data limite de 20/02/2025 que é o prazo para manifestação do município na Ação, não havendo adiantamento de valores.</w:t>
      </w:r>
    </w:p>
    <w:p w14:paraId="0DF3AA96" w14:textId="77777777" w:rsidR="0070095C" w:rsidRPr="00DC7978" w:rsidRDefault="0070095C" w:rsidP="005F2236">
      <w:pPr>
        <w:spacing w:line="360" w:lineRule="auto"/>
        <w:ind w:firstLine="851"/>
        <w:jc w:val="both"/>
        <w:rPr>
          <w:sz w:val="22"/>
          <w:szCs w:val="22"/>
        </w:rPr>
      </w:pPr>
    </w:p>
    <w:p w14:paraId="3761C493" w14:textId="34243194" w:rsidR="00E36F1E" w:rsidRPr="00DC7978" w:rsidRDefault="00DB79C6" w:rsidP="005F2236">
      <w:pPr>
        <w:spacing w:line="360" w:lineRule="auto"/>
        <w:ind w:firstLine="851"/>
        <w:jc w:val="both"/>
        <w:rPr>
          <w:sz w:val="22"/>
          <w:szCs w:val="22"/>
        </w:rPr>
      </w:pPr>
      <w:r w:rsidRPr="00DC7978">
        <w:rPr>
          <w:b/>
          <w:bCs/>
          <w:sz w:val="22"/>
          <w:szCs w:val="22"/>
        </w:rPr>
        <w:t xml:space="preserve">13 </w:t>
      </w:r>
      <w:r w:rsidR="00E36F1E" w:rsidRPr="00DC7978">
        <w:rPr>
          <w:b/>
          <w:bCs/>
          <w:sz w:val="22"/>
          <w:szCs w:val="22"/>
        </w:rPr>
        <w:t>PRAZO PARA INÍCIO DA EXECUÇÃO DO SERVIÇO</w:t>
      </w:r>
    </w:p>
    <w:p w14:paraId="3CBEFB04" w14:textId="6BB68148" w:rsidR="00E36F1E" w:rsidRPr="00DC7978" w:rsidRDefault="001408ED" w:rsidP="005F2236">
      <w:pPr>
        <w:spacing w:line="360" w:lineRule="auto"/>
        <w:ind w:firstLine="851"/>
        <w:jc w:val="both"/>
        <w:rPr>
          <w:sz w:val="22"/>
          <w:szCs w:val="22"/>
        </w:rPr>
      </w:pPr>
      <w:r>
        <w:rPr>
          <w:sz w:val="22"/>
          <w:szCs w:val="22"/>
        </w:rPr>
        <w:t xml:space="preserve">O serviço deverá ser </w:t>
      </w:r>
      <w:r w:rsidR="002E3976">
        <w:rPr>
          <w:sz w:val="22"/>
          <w:szCs w:val="22"/>
        </w:rPr>
        <w:t xml:space="preserve">prestado </w:t>
      </w:r>
      <w:r w:rsidR="00476951">
        <w:rPr>
          <w:sz w:val="22"/>
          <w:szCs w:val="22"/>
        </w:rPr>
        <w:t>a partir da assinatura do contrato com término em</w:t>
      </w:r>
      <w:r w:rsidR="002E3976">
        <w:rPr>
          <w:sz w:val="22"/>
          <w:szCs w:val="22"/>
        </w:rPr>
        <w:t xml:space="preserve"> </w:t>
      </w:r>
      <w:r w:rsidR="0070095C">
        <w:rPr>
          <w:sz w:val="22"/>
          <w:szCs w:val="22"/>
        </w:rPr>
        <w:t>20 de fevereiro de 2025</w:t>
      </w:r>
      <w:r w:rsidR="002E3976">
        <w:rPr>
          <w:sz w:val="22"/>
          <w:szCs w:val="22"/>
        </w:rPr>
        <w:t>.</w:t>
      </w:r>
    </w:p>
    <w:p w14:paraId="364D1D0F" w14:textId="77777777" w:rsidR="00170AC6" w:rsidRPr="00DC7978" w:rsidRDefault="00170AC6" w:rsidP="005F2236">
      <w:pPr>
        <w:spacing w:line="360" w:lineRule="auto"/>
        <w:ind w:firstLine="851"/>
        <w:jc w:val="both"/>
        <w:rPr>
          <w:sz w:val="22"/>
          <w:szCs w:val="22"/>
        </w:rPr>
      </w:pPr>
    </w:p>
    <w:p w14:paraId="05B0AA77" w14:textId="143F4DF4" w:rsidR="00E36F1E" w:rsidRPr="00DC7978" w:rsidRDefault="00DB79C6" w:rsidP="005F2236">
      <w:pPr>
        <w:spacing w:line="360" w:lineRule="auto"/>
        <w:ind w:firstLine="851"/>
        <w:jc w:val="both"/>
        <w:rPr>
          <w:b/>
          <w:bCs/>
          <w:sz w:val="22"/>
          <w:szCs w:val="22"/>
        </w:rPr>
      </w:pPr>
      <w:r w:rsidRPr="00DC7978">
        <w:rPr>
          <w:b/>
          <w:bCs/>
          <w:sz w:val="22"/>
          <w:szCs w:val="22"/>
        </w:rPr>
        <w:t xml:space="preserve">14 </w:t>
      </w:r>
      <w:r w:rsidR="00E36F1E" w:rsidRPr="00DC7978">
        <w:rPr>
          <w:b/>
          <w:bCs/>
          <w:sz w:val="22"/>
          <w:szCs w:val="22"/>
        </w:rPr>
        <w:t>VALOR ESTIMADO</w:t>
      </w:r>
    </w:p>
    <w:p w14:paraId="146E7D16" w14:textId="514442E1" w:rsidR="00CA4B9A" w:rsidRDefault="00CA4B9A" w:rsidP="0070095C">
      <w:pPr>
        <w:spacing w:line="360" w:lineRule="auto"/>
        <w:ind w:firstLine="851"/>
        <w:jc w:val="both"/>
        <w:rPr>
          <w:sz w:val="22"/>
          <w:szCs w:val="22"/>
        </w:rPr>
      </w:pPr>
      <w:r w:rsidRPr="00DC7978">
        <w:rPr>
          <w:sz w:val="22"/>
          <w:szCs w:val="22"/>
        </w:rPr>
        <w:t>O preço total da contratação é de</w:t>
      </w:r>
      <w:r w:rsidR="0070095C" w:rsidRPr="0070095C">
        <w:rPr>
          <w:b/>
          <w:bCs/>
          <w:i/>
          <w:iCs/>
          <w:sz w:val="22"/>
          <w:szCs w:val="22"/>
        </w:rPr>
        <w:t xml:space="preserve"> R$ </w:t>
      </w:r>
      <w:r w:rsidR="00CD6385">
        <w:rPr>
          <w:b/>
          <w:bCs/>
          <w:i/>
          <w:iCs/>
          <w:sz w:val="22"/>
          <w:szCs w:val="22"/>
        </w:rPr>
        <w:t>14.000,00 (quatorze mil reais</w:t>
      </w:r>
      <w:r w:rsidR="0070095C" w:rsidRPr="0070095C">
        <w:rPr>
          <w:b/>
          <w:bCs/>
          <w:i/>
          <w:iCs/>
          <w:sz w:val="22"/>
          <w:szCs w:val="22"/>
        </w:rPr>
        <w:t>)</w:t>
      </w:r>
      <w:r w:rsidRPr="00DC7978">
        <w:rPr>
          <w:sz w:val="22"/>
          <w:szCs w:val="22"/>
        </w:rPr>
        <w:t xml:space="preserve">, conforme </w:t>
      </w:r>
      <w:r w:rsidR="00CD6385">
        <w:rPr>
          <w:sz w:val="22"/>
          <w:szCs w:val="22"/>
        </w:rPr>
        <w:t xml:space="preserve">proposta de profissional técnico da área. </w:t>
      </w:r>
    </w:p>
    <w:p w14:paraId="4222A1C5" w14:textId="0CB3FAAF" w:rsidR="008D56A0" w:rsidRPr="0070095C" w:rsidRDefault="008D56A0" w:rsidP="0070095C">
      <w:pPr>
        <w:spacing w:line="360" w:lineRule="auto"/>
        <w:ind w:firstLine="851"/>
        <w:jc w:val="both"/>
        <w:rPr>
          <w:b/>
          <w:bCs/>
          <w:i/>
          <w:iCs/>
          <w:sz w:val="22"/>
          <w:szCs w:val="22"/>
        </w:rPr>
      </w:pPr>
      <w:r>
        <w:rPr>
          <w:sz w:val="22"/>
          <w:szCs w:val="22"/>
        </w:rPr>
        <w:t>A preposta de profissional técnico, está de acordo com a pesquisa realizada, bem como houve a comprovação de adequação dos valores por meio da apresentação de notas fiscais apresentadas</w:t>
      </w:r>
      <w:r w:rsidR="00CD6385">
        <w:rPr>
          <w:sz w:val="22"/>
          <w:szCs w:val="22"/>
        </w:rPr>
        <w:t xml:space="preserve"> e pesquisa no </w:t>
      </w:r>
      <w:proofErr w:type="spellStart"/>
      <w:r w:rsidR="00CD6385">
        <w:rPr>
          <w:sz w:val="22"/>
          <w:szCs w:val="22"/>
        </w:rPr>
        <w:t>Licitacon</w:t>
      </w:r>
      <w:proofErr w:type="spellEnd"/>
      <w:r w:rsidR="00CD6385">
        <w:rPr>
          <w:sz w:val="22"/>
          <w:szCs w:val="22"/>
        </w:rPr>
        <w:t xml:space="preserve">. </w:t>
      </w:r>
    </w:p>
    <w:p w14:paraId="305E6EEE" w14:textId="41B0D95D" w:rsidR="00CA4B9A" w:rsidRPr="00DC7978" w:rsidRDefault="00CA4B9A" w:rsidP="005F2236">
      <w:pPr>
        <w:spacing w:line="360" w:lineRule="auto"/>
        <w:ind w:firstLine="851"/>
        <w:jc w:val="both"/>
        <w:rPr>
          <w:sz w:val="22"/>
          <w:szCs w:val="22"/>
        </w:rPr>
      </w:pPr>
      <w:r w:rsidRPr="00DC7978">
        <w:rPr>
          <w:sz w:val="22"/>
          <w:szCs w:val="22"/>
        </w:rPr>
        <w:t>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Miraguaí-RS, nos termos da Lei Federal nº 14.133/2021”.</w:t>
      </w:r>
    </w:p>
    <w:p w14:paraId="33E7B2B3" w14:textId="0C7D62A4" w:rsidR="0070095C" w:rsidRPr="0070095C" w:rsidRDefault="00CA4B9A" w:rsidP="008D56A0">
      <w:pPr>
        <w:spacing w:line="360" w:lineRule="auto"/>
        <w:ind w:firstLine="851"/>
        <w:jc w:val="both"/>
        <w:rPr>
          <w:sz w:val="22"/>
          <w:szCs w:val="22"/>
        </w:rPr>
      </w:pPr>
      <w:r w:rsidRPr="00DC7978">
        <w:rPr>
          <w:sz w:val="22"/>
          <w:szCs w:val="22"/>
        </w:rPr>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 </w:t>
      </w:r>
    </w:p>
    <w:p w14:paraId="005B0320" w14:textId="33E218C6" w:rsidR="0050451C" w:rsidRDefault="0070095C" w:rsidP="005F2236">
      <w:pPr>
        <w:spacing w:line="360" w:lineRule="auto"/>
        <w:ind w:firstLine="851"/>
        <w:jc w:val="both"/>
        <w:rPr>
          <w:sz w:val="22"/>
          <w:szCs w:val="22"/>
        </w:rPr>
      </w:pPr>
      <w:r w:rsidRPr="0070095C">
        <w:rPr>
          <w:sz w:val="22"/>
          <w:szCs w:val="22"/>
        </w:rPr>
        <w:t xml:space="preserve">O valor da proposta é condizente com o valor de mercado praticado pelos profissionais da área. A Tabela orientativa para cobrança de honorários sobre serviços e responsabilidade técnica, prestados por Administrador – Arquivo elaborado pela Federação Nacional dos Administradores – FENAD (disponível no endereço </w:t>
      </w:r>
      <w:r w:rsidRPr="0070095C">
        <w:rPr>
          <w:i/>
          <w:iCs/>
          <w:sz w:val="22"/>
          <w:szCs w:val="22"/>
        </w:rPr>
        <w:t>https://www.crars.org.br/tabela-orientativa-de-honorarios</w:t>
      </w:r>
      <w:r w:rsidRPr="0070095C">
        <w:rPr>
          <w:sz w:val="22"/>
          <w:szCs w:val="22"/>
        </w:rPr>
        <w:t>), orienta pelo valor de R$ R$ 2.847,00 (dois mil oitocentos e quarenta e sete reais) para emissão de Laudo Pericial e emissão de Laudos e Pareceres. Há de se ressaltar, que nesta Ação é a emissão</w:t>
      </w:r>
      <w:r w:rsidRPr="0070095C">
        <w:rPr>
          <w:rFonts w:eastAsiaTheme="minorHAnsi"/>
          <w:b/>
          <w:bCs/>
          <w:i/>
          <w:iCs/>
          <w:color w:val="000000"/>
          <w:sz w:val="23"/>
          <w:szCs w:val="23"/>
          <w:lang w:eastAsia="en-US"/>
        </w:rPr>
        <w:t xml:space="preserve"> </w:t>
      </w:r>
      <w:r w:rsidRPr="0070095C">
        <w:rPr>
          <w:sz w:val="22"/>
          <w:szCs w:val="22"/>
        </w:rPr>
        <w:t>de um Parecer, mas com 20 (vinte) análises que poderiam gerar o mesmo número de Pareceres. Porém, há de se ajustar tal valor para a realidade regional, o que se demonstra, inclusive, no fato de que o Perito nomeado na ação requisita os mesmos 10 (dez) salários para confecção dos</w:t>
      </w:r>
      <w:r w:rsidRPr="0070095C">
        <w:rPr>
          <w:b/>
          <w:bCs/>
          <w:i/>
          <w:iCs/>
          <w:sz w:val="22"/>
          <w:szCs w:val="22"/>
        </w:rPr>
        <w:t xml:space="preserve"> </w:t>
      </w:r>
      <w:r w:rsidRPr="0070095C">
        <w:rPr>
          <w:sz w:val="22"/>
          <w:szCs w:val="22"/>
        </w:rPr>
        <w:t>cálculos.</w:t>
      </w:r>
    </w:p>
    <w:p w14:paraId="625F196B" w14:textId="77777777" w:rsidR="0070095C" w:rsidRPr="00DC7978" w:rsidRDefault="0070095C" w:rsidP="005F2236">
      <w:pPr>
        <w:spacing w:line="360" w:lineRule="auto"/>
        <w:ind w:firstLine="851"/>
        <w:jc w:val="both"/>
        <w:rPr>
          <w:b/>
          <w:bCs/>
          <w:sz w:val="22"/>
          <w:szCs w:val="22"/>
        </w:rPr>
      </w:pPr>
    </w:p>
    <w:p w14:paraId="20BA252B" w14:textId="6615E98A" w:rsidR="00E36F1E" w:rsidRPr="00DC7978" w:rsidRDefault="00DB79C6" w:rsidP="005F2236">
      <w:pPr>
        <w:spacing w:line="360" w:lineRule="auto"/>
        <w:ind w:firstLine="851"/>
        <w:jc w:val="both"/>
        <w:rPr>
          <w:b/>
          <w:bCs/>
          <w:sz w:val="22"/>
          <w:szCs w:val="22"/>
        </w:rPr>
      </w:pPr>
      <w:r w:rsidRPr="00DC7978">
        <w:rPr>
          <w:b/>
          <w:bCs/>
          <w:sz w:val="22"/>
          <w:szCs w:val="22"/>
        </w:rPr>
        <w:t xml:space="preserve">15 </w:t>
      </w:r>
      <w:r w:rsidR="00E36F1E" w:rsidRPr="00DC7978">
        <w:rPr>
          <w:b/>
          <w:bCs/>
          <w:sz w:val="22"/>
          <w:szCs w:val="22"/>
        </w:rPr>
        <w:t>PREVISÃO ORÇAMENTÁRIA</w:t>
      </w:r>
    </w:p>
    <w:p w14:paraId="5FB1363A" w14:textId="441355F7" w:rsidR="00C73CC7" w:rsidRPr="00DC7978" w:rsidRDefault="00C73CC7" w:rsidP="005F2236">
      <w:pPr>
        <w:spacing w:line="360" w:lineRule="auto"/>
        <w:ind w:firstLine="851"/>
        <w:jc w:val="both"/>
        <w:rPr>
          <w:sz w:val="22"/>
          <w:szCs w:val="22"/>
        </w:rPr>
      </w:pPr>
      <w:bookmarkStart w:id="3" w:name="_Hlk169613146"/>
      <w:r w:rsidRPr="00DC7978">
        <w:rPr>
          <w:sz w:val="22"/>
          <w:szCs w:val="22"/>
        </w:rPr>
        <w:t xml:space="preserve">As despesas correrão por conta da Secretaria Municipal de </w:t>
      </w:r>
      <w:r w:rsidR="0001539C">
        <w:rPr>
          <w:sz w:val="22"/>
          <w:szCs w:val="22"/>
        </w:rPr>
        <w:t>Saúde</w:t>
      </w:r>
      <w:r w:rsidRPr="00DC7978">
        <w:rPr>
          <w:sz w:val="22"/>
          <w:szCs w:val="22"/>
        </w:rPr>
        <w:t xml:space="preserve">: </w:t>
      </w:r>
    </w:p>
    <w:p w14:paraId="0695C53E" w14:textId="581A1268" w:rsidR="00E36F1E" w:rsidRPr="00DC7978" w:rsidRDefault="00C73CC7" w:rsidP="005F2236">
      <w:pPr>
        <w:spacing w:line="360" w:lineRule="auto"/>
        <w:ind w:firstLine="851"/>
        <w:jc w:val="both"/>
        <w:rPr>
          <w:sz w:val="22"/>
          <w:szCs w:val="22"/>
        </w:rPr>
      </w:pPr>
      <w:r w:rsidRPr="00DC7978">
        <w:rPr>
          <w:sz w:val="22"/>
          <w:szCs w:val="22"/>
        </w:rPr>
        <w:t>Despesa: 2.0</w:t>
      </w:r>
      <w:r w:rsidR="002E3976">
        <w:rPr>
          <w:sz w:val="22"/>
          <w:szCs w:val="22"/>
        </w:rPr>
        <w:t>08</w:t>
      </w:r>
      <w:r w:rsidRPr="00DC7978">
        <w:rPr>
          <w:sz w:val="22"/>
          <w:szCs w:val="22"/>
        </w:rPr>
        <w:t xml:space="preserve"> – </w:t>
      </w:r>
      <w:r w:rsidR="002E3976">
        <w:rPr>
          <w:sz w:val="22"/>
          <w:szCs w:val="22"/>
        </w:rPr>
        <w:t>ADMINISTRAÇÃO GERAL – SECRETARIA DE ADMINISTRAÇÃO</w:t>
      </w:r>
      <w:r w:rsidRPr="00DC7978">
        <w:rPr>
          <w:sz w:val="22"/>
          <w:szCs w:val="22"/>
        </w:rPr>
        <w:t xml:space="preserve">. </w:t>
      </w:r>
      <w:r w:rsidR="002E3976">
        <w:rPr>
          <w:sz w:val="22"/>
          <w:szCs w:val="22"/>
        </w:rPr>
        <w:t>4</w:t>
      </w:r>
      <w:r w:rsidR="000B2EC3">
        <w:rPr>
          <w:sz w:val="22"/>
          <w:szCs w:val="22"/>
        </w:rPr>
        <w:t>9</w:t>
      </w:r>
      <w:r w:rsidRPr="00DC7978">
        <w:rPr>
          <w:sz w:val="22"/>
          <w:szCs w:val="22"/>
        </w:rPr>
        <w:t xml:space="preserve"> - Dotação Orçamentária: 3.3.90.39.00.00.00.00 0</w:t>
      </w:r>
      <w:r w:rsidR="000B2EC3">
        <w:rPr>
          <w:sz w:val="22"/>
          <w:szCs w:val="22"/>
        </w:rPr>
        <w:t>5</w:t>
      </w:r>
      <w:r w:rsidRPr="00DC7978">
        <w:rPr>
          <w:sz w:val="22"/>
          <w:szCs w:val="22"/>
        </w:rPr>
        <w:t>00– Outros Serviços de Terceiros – Pessoa Jurídica.</w:t>
      </w:r>
    </w:p>
    <w:bookmarkEnd w:id="3"/>
    <w:p w14:paraId="329BD27A" w14:textId="77777777" w:rsidR="0001539C" w:rsidRDefault="0001539C" w:rsidP="005F2236">
      <w:pPr>
        <w:spacing w:line="360" w:lineRule="auto"/>
        <w:ind w:firstLine="851"/>
        <w:jc w:val="both"/>
        <w:rPr>
          <w:b/>
          <w:bCs/>
          <w:sz w:val="22"/>
          <w:szCs w:val="22"/>
        </w:rPr>
      </w:pPr>
    </w:p>
    <w:p w14:paraId="660CD2D0" w14:textId="2760409F" w:rsidR="00247BC6" w:rsidRPr="00DC7978" w:rsidRDefault="00DB79C6" w:rsidP="005F2236">
      <w:pPr>
        <w:spacing w:line="360" w:lineRule="auto"/>
        <w:ind w:firstLine="851"/>
        <w:jc w:val="both"/>
        <w:rPr>
          <w:b/>
          <w:bCs/>
          <w:sz w:val="22"/>
          <w:szCs w:val="22"/>
        </w:rPr>
      </w:pPr>
      <w:r w:rsidRPr="00DC7978">
        <w:rPr>
          <w:b/>
          <w:bCs/>
          <w:sz w:val="22"/>
          <w:szCs w:val="22"/>
        </w:rPr>
        <w:t xml:space="preserve">16 </w:t>
      </w:r>
      <w:r w:rsidR="00247BC6" w:rsidRPr="00DC7978">
        <w:rPr>
          <w:b/>
          <w:bCs/>
          <w:sz w:val="22"/>
          <w:szCs w:val="22"/>
        </w:rPr>
        <w:t>REQUISITOS DA CONTRATAÇÃO</w:t>
      </w:r>
      <w:bookmarkStart w:id="4" w:name="art6xxiiie"/>
      <w:bookmarkEnd w:id="4"/>
    </w:p>
    <w:p w14:paraId="4DCBA0A4" w14:textId="77777777" w:rsidR="00E11D75" w:rsidRDefault="00E11D75" w:rsidP="005F2236">
      <w:pPr>
        <w:spacing w:line="360" w:lineRule="auto"/>
        <w:ind w:firstLine="851"/>
        <w:jc w:val="both"/>
        <w:rPr>
          <w:sz w:val="22"/>
          <w:szCs w:val="22"/>
        </w:rPr>
      </w:pPr>
    </w:p>
    <w:p w14:paraId="4923A662" w14:textId="00F5D490" w:rsidR="00247BC6" w:rsidRPr="00DC7978" w:rsidRDefault="00247BC6" w:rsidP="005F2236">
      <w:pPr>
        <w:spacing w:line="360" w:lineRule="auto"/>
        <w:ind w:firstLine="851"/>
        <w:jc w:val="both"/>
        <w:rPr>
          <w:sz w:val="22"/>
          <w:szCs w:val="22"/>
        </w:rPr>
      </w:pPr>
      <w:r w:rsidRPr="00DC7978">
        <w:rPr>
          <w:sz w:val="22"/>
          <w:szCs w:val="22"/>
        </w:rPr>
        <w:t xml:space="preserve">A contratação será realizada por meio de </w:t>
      </w:r>
      <w:r w:rsidR="004B07D9">
        <w:rPr>
          <w:sz w:val="22"/>
          <w:szCs w:val="22"/>
        </w:rPr>
        <w:t>Inexigibilidade</w:t>
      </w:r>
      <w:r w:rsidRPr="00DC7978">
        <w:rPr>
          <w:sz w:val="22"/>
          <w:szCs w:val="22"/>
        </w:rPr>
        <w:t xml:space="preserve"> de Licitação nos termos do artigo 7</w:t>
      </w:r>
      <w:r w:rsidR="004B07D9">
        <w:rPr>
          <w:sz w:val="22"/>
          <w:szCs w:val="22"/>
        </w:rPr>
        <w:t>4</w:t>
      </w:r>
      <w:r w:rsidR="002E3976">
        <w:rPr>
          <w:sz w:val="22"/>
          <w:szCs w:val="22"/>
        </w:rPr>
        <w:t xml:space="preserve">, inciso </w:t>
      </w:r>
      <w:r w:rsidR="006E3798">
        <w:rPr>
          <w:sz w:val="22"/>
          <w:szCs w:val="22"/>
        </w:rPr>
        <w:t>II</w:t>
      </w:r>
      <w:r w:rsidR="008D56A0">
        <w:rPr>
          <w:sz w:val="22"/>
          <w:szCs w:val="22"/>
        </w:rPr>
        <w:t>I, alínea b</w:t>
      </w:r>
      <w:r w:rsidR="006E3798">
        <w:rPr>
          <w:sz w:val="22"/>
          <w:szCs w:val="22"/>
        </w:rPr>
        <w:t xml:space="preserve">, </w:t>
      </w:r>
      <w:r w:rsidRPr="00DC7978">
        <w:rPr>
          <w:sz w:val="22"/>
          <w:szCs w:val="22"/>
        </w:rPr>
        <w:t>da Lei Federal nº 14.133/2021.</w:t>
      </w:r>
    </w:p>
    <w:p w14:paraId="77B2C827" w14:textId="656E3812" w:rsidR="00247BC6" w:rsidRPr="00DC7978" w:rsidRDefault="00247BC6" w:rsidP="005F2236">
      <w:pPr>
        <w:spacing w:line="360" w:lineRule="auto"/>
        <w:ind w:firstLine="851"/>
        <w:jc w:val="both"/>
        <w:rPr>
          <w:sz w:val="22"/>
          <w:szCs w:val="22"/>
        </w:rPr>
      </w:pPr>
      <w:r w:rsidRPr="00DC7978">
        <w:rPr>
          <w:sz w:val="22"/>
          <w:szCs w:val="22"/>
        </w:rPr>
        <w:t xml:space="preserve">Para a aquisição pretendida </w:t>
      </w:r>
      <w:r w:rsidR="003E7818">
        <w:rPr>
          <w:sz w:val="22"/>
          <w:szCs w:val="22"/>
        </w:rPr>
        <w:t xml:space="preserve">a empresa </w:t>
      </w:r>
      <w:r w:rsidR="00FB46CE">
        <w:rPr>
          <w:sz w:val="22"/>
          <w:szCs w:val="22"/>
        </w:rPr>
        <w:t>deverá,</w:t>
      </w:r>
      <w:r w:rsidRPr="00DC7978">
        <w:rPr>
          <w:sz w:val="22"/>
          <w:szCs w:val="22"/>
        </w:rPr>
        <w:t xml:space="preserve"> </w:t>
      </w:r>
      <w:r w:rsidR="003E7818">
        <w:rPr>
          <w:sz w:val="22"/>
          <w:szCs w:val="22"/>
        </w:rPr>
        <w:t>deverá comprovar</w:t>
      </w:r>
      <w:r w:rsidRPr="00DC7978">
        <w:rPr>
          <w:sz w:val="22"/>
          <w:szCs w:val="22"/>
        </w:rPr>
        <w:t xml:space="preserve"> que atua em ramo de atividade compatível com o objeto da licitação, bem como apresentar os seguintes documentos a título habilitação, nos termos do art. 62 </w:t>
      </w:r>
      <w:r w:rsidR="004E7CAE">
        <w:rPr>
          <w:sz w:val="22"/>
          <w:szCs w:val="22"/>
        </w:rPr>
        <w:t xml:space="preserve">e seguintes </w:t>
      </w:r>
      <w:r w:rsidRPr="00DC7978">
        <w:rPr>
          <w:sz w:val="22"/>
          <w:szCs w:val="22"/>
        </w:rPr>
        <w:t>da Lei Federal nº 14.133/2021:</w:t>
      </w:r>
    </w:p>
    <w:p w14:paraId="20B5761B" w14:textId="77777777" w:rsidR="00247BC6" w:rsidRPr="00DC7978" w:rsidRDefault="00247BC6" w:rsidP="005F2236">
      <w:pPr>
        <w:spacing w:line="360" w:lineRule="auto"/>
        <w:ind w:firstLine="851"/>
        <w:jc w:val="both"/>
        <w:rPr>
          <w:sz w:val="22"/>
          <w:szCs w:val="22"/>
        </w:rPr>
      </w:pPr>
    </w:p>
    <w:p w14:paraId="6C80C00C" w14:textId="77777777" w:rsidR="00247BC6" w:rsidRPr="00DC7978" w:rsidRDefault="00247BC6" w:rsidP="005F2236">
      <w:pPr>
        <w:spacing w:line="360" w:lineRule="auto"/>
        <w:ind w:firstLine="851"/>
        <w:jc w:val="both"/>
        <w:rPr>
          <w:sz w:val="22"/>
          <w:szCs w:val="22"/>
        </w:rPr>
      </w:pPr>
      <w:r w:rsidRPr="00DC7978">
        <w:rPr>
          <w:sz w:val="22"/>
          <w:szCs w:val="22"/>
        </w:rPr>
        <w:t>HABILITAÇÃO JURÍDICA</w:t>
      </w:r>
    </w:p>
    <w:p w14:paraId="22548F30" w14:textId="77777777" w:rsidR="00247BC6" w:rsidRPr="00DC7978" w:rsidRDefault="00247BC6" w:rsidP="005F2236">
      <w:pPr>
        <w:spacing w:line="360" w:lineRule="auto"/>
        <w:ind w:firstLine="851"/>
        <w:jc w:val="both"/>
        <w:rPr>
          <w:sz w:val="22"/>
          <w:szCs w:val="22"/>
        </w:rPr>
      </w:pPr>
      <w:r w:rsidRPr="00DC7978">
        <w:rPr>
          <w:sz w:val="22"/>
          <w:szCs w:val="22"/>
        </w:rPr>
        <w:t>a) cópia do registro comercial, no caso de empresa individual;</w:t>
      </w:r>
    </w:p>
    <w:p w14:paraId="2105DD9C" w14:textId="77777777" w:rsidR="00247BC6" w:rsidRPr="00DC7978" w:rsidRDefault="00247BC6" w:rsidP="005F2236">
      <w:pPr>
        <w:spacing w:line="360" w:lineRule="auto"/>
        <w:ind w:firstLine="851"/>
        <w:jc w:val="both"/>
        <w:rPr>
          <w:sz w:val="22"/>
          <w:szCs w:val="22"/>
        </w:rPr>
      </w:pPr>
      <w:r w:rsidRPr="00DC7978">
        <w:rPr>
          <w:sz w:val="22"/>
          <w:szCs w:val="22"/>
        </w:rPr>
        <w:t>b) cópia do ato constitutivo, estatuto ou contrato social em vigor, devidamente registrado, em se tratando de sociedades comerciais, e, no caso de sociedade por ações, acompanhado de documentos de eleição de seus administradores;</w:t>
      </w:r>
    </w:p>
    <w:p w14:paraId="791373D9" w14:textId="77777777" w:rsidR="00247BC6" w:rsidRPr="00DC7978" w:rsidRDefault="00247BC6" w:rsidP="005F2236">
      <w:pPr>
        <w:spacing w:line="360" w:lineRule="auto"/>
        <w:ind w:firstLine="851"/>
        <w:jc w:val="both"/>
        <w:rPr>
          <w:sz w:val="22"/>
          <w:szCs w:val="22"/>
        </w:rPr>
      </w:pPr>
      <w:r w:rsidRPr="00DC7978">
        <w:rPr>
          <w:sz w:val="22"/>
          <w:szCs w:val="22"/>
        </w:rPr>
        <w:t>c) comprovante de inscrição no Cadastro Nacional de Pessoa Física (CPF), se o licitante for pessoa natural, ou no Cadastro Nacional da Pessoa Jurídica (CNPJ/MF), se o licitante for pessoa jurídica;</w:t>
      </w:r>
    </w:p>
    <w:p w14:paraId="747F12A7" w14:textId="4F00DE23" w:rsidR="00247BC6" w:rsidRDefault="00247BC6" w:rsidP="005F2236">
      <w:pPr>
        <w:spacing w:line="360" w:lineRule="auto"/>
        <w:ind w:firstLine="851"/>
        <w:jc w:val="both"/>
        <w:rPr>
          <w:sz w:val="22"/>
          <w:szCs w:val="22"/>
        </w:rPr>
      </w:pPr>
      <w:r w:rsidRPr="00DC7978">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14:paraId="1FC8BE61" w14:textId="77777777" w:rsidR="00242D8C" w:rsidRPr="00DC7978" w:rsidRDefault="00242D8C" w:rsidP="005F2236">
      <w:pPr>
        <w:spacing w:line="360" w:lineRule="auto"/>
        <w:ind w:firstLine="851"/>
        <w:jc w:val="both"/>
        <w:rPr>
          <w:sz w:val="22"/>
          <w:szCs w:val="22"/>
        </w:rPr>
      </w:pPr>
    </w:p>
    <w:p w14:paraId="49FB8ABA" w14:textId="77777777" w:rsidR="00247BC6" w:rsidRPr="00DC7978" w:rsidRDefault="00247BC6" w:rsidP="005F2236">
      <w:pPr>
        <w:spacing w:line="360" w:lineRule="auto"/>
        <w:ind w:firstLine="851"/>
        <w:jc w:val="both"/>
        <w:rPr>
          <w:sz w:val="22"/>
          <w:szCs w:val="22"/>
        </w:rPr>
      </w:pPr>
      <w:r w:rsidRPr="00DC7978">
        <w:rPr>
          <w:sz w:val="22"/>
          <w:szCs w:val="22"/>
        </w:rPr>
        <w:t>HABILITAÇÃO FISCAL, SOCIAL E TRABALHISTA</w:t>
      </w:r>
    </w:p>
    <w:p w14:paraId="5205D75D" w14:textId="77777777" w:rsidR="00247BC6" w:rsidRPr="00DC7978" w:rsidRDefault="00247BC6" w:rsidP="005F2236">
      <w:pPr>
        <w:spacing w:line="360" w:lineRule="auto"/>
        <w:ind w:firstLine="851"/>
        <w:jc w:val="both"/>
        <w:rPr>
          <w:sz w:val="22"/>
          <w:szCs w:val="22"/>
        </w:rPr>
      </w:pPr>
      <w:r w:rsidRPr="00DC7978">
        <w:rPr>
          <w:sz w:val="22"/>
          <w:szCs w:val="22"/>
        </w:rPr>
        <w:t>a) comprovante de inscrição no cadastro de contribuintes estadual e/ou municipal, se houver, relativo ao domicílio ou sede do licitante, pertinente ao seu ramo de atividade e compatível com o objeto contratual;</w:t>
      </w:r>
    </w:p>
    <w:p w14:paraId="4523E3CD" w14:textId="77777777" w:rsidR="00247BC6" w:rsidRPr="00DC7978" w:rsidRDefault="00247BC6" w:rsidP="005F2236">
      <w:pPr>
        <w:spacing w:line="360" w:lineRule="auto"/>
        <w:ind w:firstLine="851"/>
        <w:jc w:val="both"/>
        <w:rPr>
          <w:sz w:val="22"/>
          <w:szCs w:val="22"/>
        </w:rPr>
      </w:pPr>
      <w:r w:rsidRPr="00DC7978">
        <w:rPr>
          <w:sz w:val="22"/>
          <w:szCs w:val="22"/>
        </w:rPr>
        <w:t>b) prova de regularidade perante a Fazenda federal, estadual e/ou municipal do domicílio ou sede do licitante;</w:t>
      </w:r>
    </w:p>
    <w:p w14:paraId="0CE70139" w14:textId="77777777" w:rsidR="00247BC6" w:rsidRPr="00DC7978" w:rsidRDefault="00247BC6" w:rsidP="005F2236">
      <w:pPr>
        <w:spacing w:line="360" w:lineRule="auto"/>
        <w:ind w:firstLine="851"/>
        <w:jc w:val="both"/>
        <w:rPr>
          <w:sz w:val="22"/>
          <w:szCs w:val="22"/>
        </w:rPr>
      </w:pPr>
      <w:r w:rsidRPr="00DC7978">
        <w:rPr>
          <w:sz w:val="22"/>
          <w:szCs w:val="22"/>
        </w:rPr>
        <w:t>c) prova de regularidade relativa à Seguridade Social e ao FGTS, que demonstre cumprimento dos encargos sociais instituídos por lei;</w:t>
      </w:r>
    </w:p>
    <w:p w14:paraId="06164080" w14:textId="31BA3144" w:rsidR="00247BC6" w:rsidRDefault="00247BC6" w:rsidP="005F2236">
      <w:pPr>
        <w:spacing w:line="360" w:lineRule="auto"/>
        <w:ind w:firstLine="851"/>
        <w:jc w:val="both"/>
        <w:rPr>
          <w:sz w:val="22"/>
          <w:szCs w:val="22"/>
        </w:rPr>
      </w:pPr>
      <w:r w:rsidRPr="00DC7978">
        <w:rPr>
          <w:sz w:val="22"/>
          <w:szCs w:val="22"/>
        </w:rPr>
        <w:t>d) prova de regularidade perante a Justiça do Trabalho.</w:t>
      </w:r>
    </w:p>
    <w:p w14:paraId="6B3CA81D" w14:textId="77777777" w:rsidR="00242D8C" w:rsidRPr="00DC7978" w:rsidRDefault="00242D8C" w:rsidP="005F2236">
      <w:pPr>
        <w:spacing w:line="360" w:lineRule="auto"/>
        <w:ind w:firstLine="851"/>
        <w:jc w:val="both"/>
        <w:rPr>
          <w:sz w:val="22"/>
          <w:szCs w:val="22"/>
        </w:rPr>
      </w:pPr>
    </w:p>
    <w:p w14:paraId="1EB51444" w14:textId="77777777" w:rsidR="00247BC6" w:rsidRPr="00DC7978" w:rsidRDefault="00247BC6" w:rsidP="005F2236">
      <w:pPr>
        <w:spacing w:line="360" w:lineRule="auto"/>
        <w:ind w:firstLine="851"/>
        <w:jc w:val="both"/>
        <w:rPr>
          <w:sz w:val="22"/>
          <w:szCs w:val="22"/>
        </w:rPr>
      </w:pPr>
      <w:r w:rsidRPr="00DC7978">
        <w:rPr>
          <w:sz w:val="22"/>
          <w:szCs w:val="22"/>
        </w:rPr>
        <w:t>HABILITAÇÃO ECONÔMICO-FINANCEIRA:</w:t>
      </w:r>
    </w:p>
    <w:p w14:paraId="23D73D29" w14:textId="7792E3E9" w:rsidR="00247BC6" w:rsidRDefault="00247BC6" w:rsidP="005F2236">
      <w:pPr>
        <w:spacing w:line="360" w:lineRule="auto"/>
        <w:ind w:firstLine="851"/>
        <w:jc w:val="both"/>
        <w:rPr>
          <w:sz w:val="22"/>
          <w:szCs w:val="22"/>
        </w:rPr>
      </w:pPr>
      <w:r w:rsidRPr="00DC7978">
        <w:rPr>
          <w:sz w:val="22"/>
          <w:szCs w:val="22"/>
        </w:rPr>
        <w:lastRenderedPageBreak/>
        <w:t>a) certidão negativa de falência expedida pelo distribuidor da sede da pessoa jurídica, em prazo não superior a 60 dias da data designada para a apresentação do documento</w:t>
      </w:r>
      <w:r w:rsidR="00E47736">
        <w:rPr>
          <w:sz w:val="22"/>
          <w:szCs w:val="22"/>
        </w:rPr>
        <w:t xml:space="preserve">. </w:t>
      </w:r>
    </w:p>
    <w:p w14:paraId="2B4EB1DB" w14:textId="63B647F4" w:rsidR="00BE5D30" w:rsidRPr="00BE5D30" w:rsidRDefault="00BE5D30" w:rsidP="00BE5D30">
      <w:pPr>
        <w:spacing w:line="360" w:lineRule="auto"/>
        <w:ind w:firstLine="851"/>
        <w:jc w:val="both"/>
        <w:rPr>
          <w:sz w:val="22"/>
          <w:szCs w:val="22"/>
        </w:rPr>
      </w:pPr>
      <w:r w:rsidRPr="00BE5D30">
        <w:rPr>
          <w:sz w:val="22"/>
          <w:szCs w:val="22"/>
        </w:rPr>
        <w:t>O profissional responsável pela conferência dos cálculos deverá atender</w:t>
      </w:r>
      <w:r>
        <w:rPr>
          <w:sz w:val="22"/>
          <w:szCs w:val="22"/>
        </w:rPr>
        <w:t xml:space="preserve"> também</w:t>
      </w:r>
      <w:r w:rsidRPr="00BE5D30">
        <w:rPr>
          <w:sz w:val="22"/>
          <w:szCs w:val="22"/>
        </w:rPr>
        <w:t xml:space="preserve"> aos seguintes requisitos:</w:t>
      </w:r>
    </w:p>
    <w:p w14:paraId="65D9A8C8" w14:textId="04637CAD" w:rsidR="00BE5D30" w:rsidRPr="00BE5D30" w:rsidRDefault="00BE5D30" w:rsidP="00BE5D30">
      <w:pPr>
        <w:numPr>
          <w:ilvl w:val="0"/>
          <w:numId w:val="10"/>
        </w:numPr>
        <w:spacing w:line="360" w:lineRule="auto"/>
        <w:jc w:val="both"/>
        <w:rPr>
          <w:sz w:val="22"/>
          <w:szCs w:val="22"/>
        </w:rPr>
      </w:pPr>
      <w:r w:rsidRPr="00BE5D30">
        <w:rPr>
          <w:sz w:val="22"/>
          <w:szCs w:val="22"/>
        </w:rPr>
        <w:t>Experiência comprovada na realização de perícias técnicas e auditoria de cálculos</w:t>
      </w:r>
      <w:r>
        <w:rPr>
          <w:sz w:val="22"/>
          <w:szCs w:val="22"/>
        </w:rPr>
        <w:t>;</w:t>
      </w:r>
    </w:p>
    <w:p w14:paraId="7C8DF9E8" w14:textId="2715DB5C" w:rsidR="00CB6263" w:rsidRDefault="00BE5D30" w:rsidP="00873F37">
      <w:pPr>
        <w:numPr>
          <w:ilvl w:val="0"/>
          <w:numId w:val="10"/>
        </w:numPr>
        <w:spacing w:line="360" w:lineRule="auto"/>
        <w:jc w:val="both"/>
        <w:rPr>
          <w:sz w:val="22"/>
          <w:szCs w:val="22"/>
        </w:rPr>
      </w:pPr>
      <w:r w:rsidRPr="00BE5D30">
        <w:rPr>
          <w:sz w:val="22"/>
          <w:szCs w:val="22"/>
        </w:rPr>
        <w:t>Conhecimento das normas e legislações pertinentes à área de atuação</w:t>
      </w:r>
      <w:r>
        <w:rPr>
          <w:sz w:val="22"/>
          <w:szCs w:val="22"/>
        </w:rPr>
        <w:t>.</w:t>
      </w:r>
    </w:p>
    <w:p w14:paraId="7E8800E6" w14:textId="77777777" w:rsidR="008D56A0" w:rsidRPr="00963ADB" w:rsidRDefault="008D56A0" w:rsidP="008D56A0">
      <w:pPr>
        <w:spacing w:line="360" w:lineRule="auto"/>
        <w:ind w:left="720"/>
        <w:jc w:val="both"/>
        <w:rPr>
          <w:sz w:val="22"/>
          <w:szCs w:val="22"/>
        </w:rPr>
      </w:pPr>
    </w:p>
    <w:p w14:paraId="7C218213" w14:textId="6231BEA6" w:rsidR="00873F37" w:rsidRDefault="00873F37" w:rsidP="00DC7978">
      <w:pPr>
        <w:spacing w:line="360" w:lineRule="auto"/>
        <w:jc w:val="center"/>
        <w:rPr>
          <w:sz w:val="22"/>
          <w:szCs w:val="22"/>
          <w:lang w:eastAsia="zh-CN"/>
        </w:rPr>
      </w:pPr>
      <w:r w:rsidRPr="00DC7978">
        <w:rPr>
          <w:sz w:val="22"/>
          <w:szCs w:val="22"/>
          <w:lang w:eastAsia="zh-CN"/>
        </w:rPr>
        <w:t xml:space="preserve">Miraguaí, </w:t>
      </w:r>
      <w:r w:rsidR="00BE5D30">
        <w:rPr>
          <w:sz w:val="22"/>
          <w:szCs w:val="22"/>
          <w:lang w:eastAsia="zh-CN"/>
        </w:rPr>
        <w:t xml:space="preserve">06 </w:t>
      </w:r>
      <w:r w:rsidR="002E3976">
        <w:rPr>
          <w:sz w:val="22"/>
          <w:szCs w:val="22"/>
          <w:lang w:eastAsia="zh-CN"/>
        </w:rPr>
        <w:t xml:space="preserve">de </w:t>
      </w:r>
      <w:r w:rsidR="00BE5D30">
        <w:rPr>
          <w:sz w:val="22"/>
          <w:szCs w:val="22"/>
          <w:lang w:eastAsia="zh-CN"/>
        </w:rPr>
        <w:t>fevereiro</w:t>
      </w:r>
      <w:r w:rsidR="00F000FF" w:rsidRPr="00DC7978">
        <w:rPr>
          <w:sz w:val="22"/>
          <w:szCs w:val="22"/>
          <w:lang w:eastAsia="zh-CN"/>
        </w:rPr>
        <w:t xml:space="preserve"> de 202</w:t>
      </w:r>
      <w:r w:rsidR="00BE5D30">
        <w:rPr>
          <w:sz w:val="22"/>
          <w:szCs w:val="22"/>
          <w:lang w:eastAsia="zh-CN"/>
        </w:rPr>
        <w:t>5</w:t>
      </w:r>
      <w:r w:rsidR="00F000FF" w:rsidRPr="00DC7978">
        <w:rPr>
          <w:sz w:val="22"/>
          <w:szCs w:val="22"/>
          <w:lang w:eastAsia="zh-CN"/>
        </w:rPr>
        <w:t>.</w:t>
      </w:r>
    </w:p>
    <w:p w14:paraId="1BF809A9" w14:textId="77777777" w:rsidR="00DC7978" w:rsidRPr="00DC7978" w:rsidRDefault="00DC7978" w:rsidP="00DC7978">
      <w:pPr>
        <w:spacing w:line="360" w:lineRule="auto"/>
        <w:jc w:val="center"/>
        <w:rPr>
          <w:sz w:val="22"/>
          <w:szCs w:val="22"/>
          <w:lang w:eastAsia="zh-CN"/>
        </w:rPr>
      </w:pPr>
    </w:p>
    <w:p w14:paraId="2C881EA6" w14:textId="77777777" w:rsidR="00873F37" w:rsidRPr="00DC7978" w:rsidRDefault="00873F37" w:rsidP="00DC7978">
      <w:pPr>
        <w:spacing w:line="360" w:lineRule="auto"/>
        <w:jc w:val="center"/>
        <w:rPr>
          <w:sz w:val="22"/>
          <w:szCs w:val="22"/>
          <w:lang w:eastAsia="zh-CN"/>
        </w:rPr>
      </w:pPr>
      <w:r w:rsidRPr="00DC7978">
        <w:rPr>
          <w:sz w:val="22"/>
          <w:szCs w:val="22"/>
          <w:lang w:eastAsia="zh-CN"/>
        </w:rPr>
        <w:t>________________________________</w:t>
      </w:r>
    </w:p>
    <w:p w14:paraId="7D0C8790" w14:textId="6C953770" w:rsidR="00873F37" w:rsidRPr="00DC7978" w:rsidRDefault="00963ADB" w:rsidP="00DC7978">
      <w:pPr>
        <w:spacing w:line="360" w:lineRule="auto"/>
        <w:jc w:val="center"/>
        <w:rPr>
          <w:b/>
          <w:bCs/>
          <w:sz w:val="22"/>
          <w:szCs w:val="22"/>
          <w:lang w:eastAsia="zh-CN"/>
        </w:rPr>
      </w:pPr>
      <w:r>
        <w:rPr>
          <w:b/>
          <w:bCs/>
          <w:sz w:val="22"/>
          <w:szCs w:val="22"/>
          <w:lang w:eastAsia="zh-CN"/>
        </w:rPr>
        <w:t>FLAVIO VENZO</w:t>
      </w:r>
    </w:p>
    <w:p w14:paraId="26CAB34A" w14:textId="1D80C087" w:rsidR="00ED3004" w:rsidRPr="00DC7978" w:rsidRDefault="00873F37" w:rsidP="00963ADB">
      <w:pPr>
        <w:spacing w:line="360" w:lineRule="auto"/>
        <w:jc w:val="center"/>
        <w:rPr>
          <w:sz w:val="22"/>
          <w:szCs w:val="22"/>
          <w:lang w:eastAsia="zh-CN"/>
        </w:rPr>
      </w:pPr>
      <w:r w:rsidRPr="00DC7978">
        <w:rPr>
          <w:sz w:val="22"/>
          <w:szCs w:val="22"/>
          <w:lang w:eastAsia="zh-CN"/>
        </w:rPr>
        <w:t>Secret</w:t>
      </w:r>
      <w:r w:rsidR="00ED3004">
        <w:rPr>
          <w:sz w:val="22"/>
          <w:szCs w:val="22"/>
          <w:lang w:eastAsia="zh-CN"/>
        </w:rPr>
        <w:t>ári</w:t>
      </w:r>
      <w:r w:rsidR="00963ADB">
        <w:rPr>
          <w:sz w:val="22"/>
          <w:szCs w:val="22"/>
          <w:lang w:eastAsia="zh-CN"/>
        </w:rPr>
        <w:t>o</w:t>
      </w:r>
      <w:r w:rsidR="00ED3004">
        <w:rPr>
          <w:sz w:val="22"/>
          <w:szCs w:val="22"/>
          <w:lang w:eastAsia="zh-CN"/>
        </w:rPr>
        <w:t xml:space="preserve"> Municipal de </w:t>
      </w:r>
      <w:r w:rsidR="00963ADB">
        <w:rPr>
          <w:sz w:val="22"/>
          <w:szCs w:val="22"/>
          <w:lang w:eastAsia="zh-CN"/>
        </w:rPr>
        <w:t>Administração</w:t>
      </w:r>
    </w:p>
    <w:sectPr w:rsidR="00ED3004" w:rsidRPr="00DC7978" w:rsidSect="00EB0B0F">
      <w:footerReference w:type="default" r:id="rId8"/>
      <w:pgSz w:w="11907" w:h="16840"/>
      <w:pgMar w:top="2552" w:right="1418" w:bottom="1985"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1513" w14:textId="77777777" w:rsidR="000F0109" w:rsidRDefault="000F0109" w:rsidP="00E36F1E">
      <w:r>
        <w:separator/>
      </w:r>
    </w:p>
  </w:endnote>
  <w:endnote w:type="continuationSeparator" w:id="0">
    <w:p w14:paraId="33A5600D" w14:textId="77777777" w:rsidR="000F0109" w:rsidRDefault="000F0109"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04576"/>
      <w:docPartObj>
        <w:docPartGallery w:val="Page Numbers (Bottom of Page)"/>
        <w:docPartUnique/>
      </w:docPartObj>
    </w:sdtPr>
    <w:sdtEndPr/>
    <w:sdtContent>
      <w:p w14:paraId="5115B1BA" w14:textId="1DE36F91" w:rsidR="00F000FF" w:rsidRDefault="00F000FF">
        <w:pPr>
          <w:pStyle w:val="Rodap"/>
          <w:jc w:val="right"/>
        </w:pPr>
        <w:r>
          <w:fldChar w:fldCharType="begin"/>
        </w:r>
        <w:r>
          <w:instrText xml:space="preserve"> PAGE   \* MERGEFORMAT </w:instrText>
        </w:r>
        <w:r>
          <w:fldChar w:fldCharType="separate"/>
        </w:r>
        <w:r w:rsidR="00173C4E">
          <w:rPr>
            <w:noProof/>
          </w:rPr>
          <w:t>5</w:t>
        </w:r>
        <w:r>
          <w:rPr>
            <w:noProof/>
          </w:rPr>
          <w:fldChar w:fldCharType="end"/>
        </w:r>
      </w:p>
    </w:sdtContent>
  </w:sdt>
  <w:p w14:paraId="485015FF" w14:textId="77777777" w:rsidR="00F000FF" w:rsidRPr="000F5620" w:rsidRDefault="00F000FF" w:rsidP="000C3FDA">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3D448" w14:textId="77777777" w:rsidR="000F0109" w:rsidRDefault="000F0109" w:rsidP="00E36F1E">
      <w:r>
        <w:separator/>
      </w:r>
    </w:p>
  </w:footnote>
  <w:footnote w:type="continuationSeparator" w:id="0">
    <w:p w14:paraId="3D56B46D" w14:textId="77777777" w:rsidR="000F0109" w:rsidRDefault="000F0109" w:rsidP="00E3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A9E02AF"/>
    <w:multiLevelType w:val="hybridMultilevel"/>
    <w:tmpl w:val="DD3A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B20D0A"/>
    <w:multiLevelType w:val="hybridMultilevel"/>
    <w:tmpl w:val="DD3A80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B5493D"/>
    <w:multiLevelType w:val="multilevel"/>
    <w:tmpl w:val="C57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D7D0D"/>
    <w:multiLevelType w:val="hybridMultilevel"/>
    <w:tmpl w:val="80B07D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FD7597B"/>
    <w:multiLevelType w:val="multilevel"/>
    <w:tmpl w:val="1D5A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B4FDE"/>
    <w:multiLevelType w:val="hybridMultilevel"/>
    <w:tmpl w:val="B02C0066"/>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9396427">
    <w:abstractNumId w:val="8"/>
  </w:num>
  <w:num w:numId="2" w16cid:durableId="1711341848">
    <w:abstractNumId w:val="0"/>
  </w:num>
  <w:num w:numId="3" w16cid:durableId="1917590910">
    <w:abstractNumId w:val="6"/>
  </w:num>
  <w:num w:numId="4" w16cid:durableId="752168064">
    <w:abstractNumId w:val="1"/>
  </w:num>
  <w:num w:numId="5" w16cid:durableId="900213206">
    <w:abstractNumId w:val="1"/>
  </w:num>
  <w:num w:numId="6" w16cid:durableId="1665477188">
    <w:abstractNumId w:val="3"/>
  </w:num>
  <w:num w:numId="7" w16cid:durableId="570311858">
    <w:abstractNumId w:val="2"/>
  </w:num>
  <w:num w:numId="8" w16cid:durableId="1409419115">
    <w:abstractNumId w:val="5"/>
  </w:num>
  <w:num w:numId="9" w16cid:durableId="952249104">
    <w:abstractNumId w:val="7"/>
  </w:num>
  <w:num w:numId="10" w16cid:durableId="414597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F1E"/>
    <w:rsid w:val="00004675"/>
    <w:rsid w:val="0001539C"/>
    <w:rsid w:val="000321A1"/>
    <w:rsid w:val="000326B5"/>
    <w:rsid w:val="00036FF7"/>
    <w:rsid w:val="000726C4"/>
    <w:rsid w:val="000B1A09"/>
    <w:rsid w:val="000B2EC3"/>
    <w:rsid w:val="000C3FDA"/>
    <w:rsid w:val="000C437F"/>
    <w:rsid w:val="000E23CC"/>
    <w:rsid w:val="000E7146"/>
    <w:rsid w:val="000F0109"/>
    <w:rsid w:val="00123ADF"/>
    <w:rsid w:val="00123F28"/>
    <w:rsid w:val="001408ED"/>
    <w:rsid w:val="00170AC6"/>
    <w:rsid w:val="00173C4E"/>
    <w:rsid w:val="001872E9"/>
    <w:rsid w:val="001A3D1B"/>
    <w:rsid w:val="001C69DA"/>
    <w:rsid w:val="001D7404"/>
    <w:rsid w:val="001E1BD3"/>
    <w:rsid w:val="001E2391"/>
    <w:rsid w:val="001F677C"/>
    <w:rsid w:val="0020457A"/>
    <w:rsid w:val="00224D32"/>
    <w:rsid w:val="00242D8C"/>
    <w:rsid w:val="00247BC6"/>
    <w:rsid w:val="002803D7"/>
    <w:rsid w:val="00287772"/>
    <w:rsid w:val="002C1901"/>
    <w:rsid w:val="002E3976"/>
    <w:rsid w:val="002E55E6"/>
    <w:rsid w:val="0030350E"/>
    <w:rsid w:val="003050B7"/>
    <w:rsid w:val="00323201"/>
    <w:rsid w:val="00345022"/>
    <w:rsid w:val="00355D62"/>
    <w:rsid w:val="00396A38"/>
    <w:rsid w:val="00396AEE"/>
    <w:rsid w:val="003A64BD"/>
    <w:rsid w:val="003B2E19"/>
    <w:rsid w:val="003E7818"/>
    <w:rsid w:val="00416359"/>
    <w:rsid w:val="00454F2D"/>
    <w:rsid w:val="00455DFF"/>
    <w:rsid w:val="00465B33"/>
    <w:rsid w:val="00476951"/>
    <w:rsid w:val="00483754"/>
    <w:rsid w:val="00484110"/>
    <w:rsid w:val="00487541"/>
    <w:rsid w:val="004B07D9"/>
    <w:rsid w:val="004C2AAB"/>
    <w:rsid w:val="004D16B9"/>
    <w:rsid w:val="004E7CAE"/>
    <w:rsid w:val="004F2B5D"/>
    <w:rsid w:val="004F6175"/>
    <w:rsid w:val="0050451C"/>
    <w:rsid w:val="00507A5D"/>
    <w:rsid w:val="00526CAB"/>
    <w:rsid w:val="00531246"/>
    <w:rsid w:val="00551A3A"/>
    <w:rsid w:val="00553276"/>
    <w:rsid w:val="005711F4"/>
    <w:rsid w:val="005920B7"/>
    <w:rsid w:val="005B289C"/>
    <w:rsid w:val="005B4B66"/>
    <w:rsid w:val="005B7C31"/>
    <w:rsid w:val="005C6D12"/>
    <w:rsid w:val="005F00E7"/>
    <w:rsid w:val="005F2236"/>
    <w:rsid w:val="005F50C7"/>
    <w:rsid w:val="0060115A"/>
    <w:rsid w:val="00614C51"/>
    <w:rsid w:val="00616263"/>
    <w:rsid w:val="00627EF4"/>
    <w:rsid w:val="00631D00"/>
    <w:rsid w:val="006607CA"/>
    <w:rsid w:val="00677026"/>
    <w:rsid w:val="00684B7A"/>
    <w:rsid w:val="0069724F"/>
    <w:rsid w:val="006C3BFD"/>
    <w:rsid w:val="006E3798"/>
    <w:rsid w:val="0070095C"/>
    <w:rsid w:val="00732331"/>
    <w:rsid w:val="00753976"/>
    <w:rsid w:val="00757834"/>
    <w:rsid w:val="00782773"/>
    <w:rsid w:val="007B5A71"/>
    <w:rsid w:val="007D6975"/>
    <w:rsid w:val="007E5B7B"/>
    <w:rsid w:val="007E7496"/>
    <w:rsid w:val="00852961"/>
    <w:rsid w:val="00873F37"/>
    <w:rsid w:val="00876CEC"/>
    <w:rsid w:val="008915FB"/>
    <w:rsid w:val="00891920"/>
    <w:rsid w:val="008A1B53"/>
    <w:rsid w:val="008A5D38"/>
    <w:rsid w:val="008C161E"/>
    <w:rsid w:val="008D043D"/>
    <w:rsid w:val="008D56A0"/>
    <w:rsid w:val="008F2742"/>
    <w:rsid w:val="00905A0B"/>
    <w:rsid w:val="009125E3"/>
    <w:rsid w:val="00945370"/>
    <w:rsid w:val="00963ADB"/>
    <w:rsid w:val="009727E1"/>
    <w:rsid w:val="00980CB6"/>
    <w:rsid w:val="009848BC"/>
    <w:rsid w:val="009A6037"/>
    <w:rsid w:val="009B7DBA"/>
    <w:rsid w:val="009C1EF4"/>
    <w:rsid w:val="009C7712"/>
    <w:rsid w:val="009D515A"/>
    <w:rsid w:val="009E16FD"/>
    <w:rsid w:val="009F4163"/>
    <w:rsid w:val="009F4F6C"/>
    <w:rsid w:val="00A07141"/>
    <w:rsid w:val="00A15AE4"/>
    <w:rsid w:val="00A5342C"/>
    <w:rsid w:val="00A57DE9"/>
    <w:rsid w:val="00A82064"/>
    <w:rsid w:val="00A905B2"/>
    <w:rsid w:val="00AA2E1E"/>
    <w:rsid w:val="00AA5084"/>
    <w:rsid w:val="00B1237C"/>
    <w:rsid w:val="00B1313C"/>
    <w:rsid w:val="00B25677"/>
    <w:rsid w:val="00B355E5"/>
    <w:rsid w:val="00B71418"/>
    <w:rsid w:val="00B75D92"/>
    <w:rsid w:val="00BA6900"/>
    <w:rsid w:val="00BC0584"/>
    <w:rsid w:val="00BC58EA"/>
    <w:rsid w:val="00BE5D30"/>
    <w:rsid w:val="00BF3473"/>
    <w:rsid w:val="00C04D25"/>
    <w:rsid w:val="00C12BB8"/>
    <w:rsid w:val="00C209F8"/>
    <w:rsid w:val="00C2367D"/>
    <w:rsid w:val="00C32E78"/>
    <w:rsid w:val="00C600D9"/>
    <w:rsid w:val="00C73CC7"/>
    <w:rsid w:val="00C800DC"/>
    <w:rsid w:val="00C80C09"/>
    <w:rsid w:val="00C90EEE"/>
    <w:rsid w:val="00C947FF"/>
    <w:rsid w:val="00C96CC1"/>
    <w:rsid w:val="00CA0C2F"/>
    <w:rsid w:val="00CA4B9A"/>
    <w:rsid w:val="00CA6AF6"/>
    <w:rsid w:val="00CB6263"/>
    <w:rsid w:val="00CC6C0E"/>
    <w:rsid w:val="00CD6385"/>
    <w:rsid w:val="00CE3871"/>
    <w:rsid w:val="00CE7C70"/>
    <w:rsid w:val="00D10E77"/>
    <w:rsid w:val="00D4158F"/>
    <w:rsid w:val="00D45BE1"/>
    <w:rsid w:val="00D53696"/>
    <w:rsid w:val="00D602F4"/>
    <w:rsid w:val="00D72D93"/>
    <w:rsid w:val="00D8307C"/>
    <w:rsid w:val="00D843B7"/>
    <w:rsid w:val="00D858E7"/>
    <w:rsid w:val="00DA79B7"/>
    <w:rsid w:val="00DB79C6"/>
    <w:rsid w:val="00DC6771"/>
    <w:rsid w:val="00DC7978"/>
    <w:rsid w:val="00E046BB"/>
    <w:rsid w:val="00E11D75"/>
    <w:rsid w:val="00E17516"/>
    <w:rsid w:val="00E234B3"/>
    <w:rsid w:val="00E25877"/>
    <w:rsid w:val="00E36F1E"/>
    <w:rsid w:val="00E47736"/>
    <w:rsid w:val="00E56810"/>
    <w:rsid w:val="00E5700F"/>
    <w:rsid w:val="00E87148"/>
    <w:rsid w:val="00EA3FB1"/>
    <w:rsid w:val="00EB0B0F"/>
    <w:rsid w:val="00EB3259"/>
    <w:rsid w:val="00EC371C"/>
    <w:rsid w:val="00EC37F9"/>
    <w:rsid w:val="00EC78DF"/>
    <w:rsid w:val="00ED3004"/>
    <w:rsid w:val="00EE3ABA"/>
    <w:rsid w:val="00EF5001"/>
    <w:rsid w:val="00F000FF"/>
    <w:rsid w:val="00F132D3"/>
    <w:rsid w:val="00F147F7"/>
    <w:rsid w:val="00F328EB"/>
    <w:rsid w:val="00F55586"/>
    <w:rsid w:val="00F67252"/>
    <w:rsid w:val="00F91D0C"/>
    <w:rsid w:val="00FB46CE"/>
    <w:rsid w:val="00FC6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290E5A"/>
  <w15:docId w15:val="{09FF29A4-B522-4CD7-A8BD-26402819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3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 w:type="paragraph" w:styleId="Assuntodocomentrio">
    <w:name w:val="annotation subject"/>
    <w:basedOn w:val="Textodecomentrio"/>
    <w:next w:val="Textodecomentrio"/>
    <w:link w:val="AssuntodocomentrioChar"/>
    <w:uiPriority w:val="99"/>
    <w:semiHidden/>
    <w:unhideWhenUsed/>
    <w:rsid w:val="009C1EF4"/>
    <w:rPr>
      <w:b/>
      <w:bCs/>
    </w:rPr>
  </w:style>
  <w:style w:type="character" w:customStyle="1" w:styleId="AssuntodocomentrioChar">
    <w:name w:val="Assunto do comentário Char"/>
    <w:basedOn w:val="TextodecomentrioChar"/>
    <w:link w:val="Assuntodocomentrio"/>
    <w:uiPriority w:val="99"/>
    <w:semiHidden/>
    <w:rsid w:val="009C1EF4"/>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 w:id="256257173">
      <w:bodyDiv w:val="1"/>
      <w:marLeft w:val="0"/>
      <w:marRight w:val="0"/>
      <w:marTop w:val="0"/>
      <w:marBottom w:val="0"/>
      <w:divBdr>
        <w:top w:val="none" w:sz="0" w:space="0" w:color="auto"/>
        <w:left w:val="none" w:sz="0" w:space="0" w:color="auto"/>
        <w:bottom w:val="none" w:sz="0" w:space="0" w:color="auto"/>
        <w:right w:val="none" w:sz="0" w:space="0" w:color="auto"/>
      </w:divBdr>
    </w:div>
    <w:div w:id="323508430">
      <w:bodyDiv w:val="1"/>
      <w:marLeft w:val="0"/>
      <w:marRight w:val="0"/>
      <w:marTop w:val="0"/>
      <w:marBottom w:val="0"/>
      <w:divBdr>
        <w:top w:val="none" w:sz="0" w:space="0" w:color="auto"/>
        <w:left w:val="none" w:sz="0" w:space="0" w:color="auto"/>
        <w:bottom w:val="none" w:sz="0" w:space="0" w:color="auto"/>
        <w:right w:val="none" w:sz="0" w:space="0" w:color="auto"/>
      </w:divBdr>
    </w:div>
    <w:div w:id="602882551">
      <w:bodyDiv w:val="1"/>
      <w:marLeft w:val="0"/>
      <w:marRight w:val="0"/>
      <w:marTop w:val="0"/>
      <w:marBottom w:val="0"/>
      <w:divBdr>
        <w:top w:val="none" w:sz="0" w:space="0" w:color="auto"/>
        <w:left w:val="none" w:sz="0" w:space="0" w:color="auto"/>
        <w:bottom w:val="none" w:sz="0" w:space="0" w:color="auto"/>
        <w:right w:val="none" w:sz="0" w:space="0" w:color="auto"/>
      </w:divBdr>
    </w:div>
    <w:div w:id="975110404">
      <w:bodyDiv w:val="1"/>
      <w:marLeft w:val="0"/>
      <w:marRight w:val="0"/>
      <w:marTop w:val="0"/>
      <w:marBottom w:val="0"/>
      <w:divBdr>
        <w:top w:val="none" w:sz="0" w:space="0" w:color="auto"/>
        <w:left w:val="none" w:sz="0" w:space="0" w:color="auto"/>
        <w:bottom w:val="none" w:sz="0" w:space="0" w:color="auto"/>
        <w:right w:val="none" w:sz="0" w:space="0" w:color="auto"/>
      </w:divBdr>
    </w:div>
    <w:div w:id="1257905900">
      <w:bodyDiv w:val="1"/>
      <w:marLeft w:val="0"/>
      <w:marRight w:val="0"/>
      <w:marTop w:val="0"/>
      <w:marBottom w:val="0"/>
      <w:divBdr>
        <w:top w:val="none" w:sz="0" w:space="0" w:color="auto"/>
        <w:left w:val="none" w:sz="0" w:space="0" w:color="auto"/>
        <w:bottom w:val="none" w:sz="0" w:space="0" w:color="auto"/>
        <w:right w:val="none" w:sz="0" w:space="0" w:color="auto"/>
      </w:divBdr>
    </w:div>
    <w:div w:id="15023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016B-5DCA-4235-885A-2567EB28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8</Pages>
  <Words>2269</Words>
  <Characters>12257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 De Oliveira</dc:creator>
  <cp:lastModifiedBy>Usuario</cp:lastModifiedBy>
  <cp:revision>77</cp:revision>
  <cp:lastPrinted>2024-06-25T12:35:00Z</cp:lastPrinted>
  <dcterms:created xsi:type="dcterms:W3CDTF">2024-02-01T14:00:00Z</dcterms:created>
  <dcterms:modified xsi:type="dcterms:W3CDTF">2025-02-11T11:59:00Z</dcterms:modified>
</cp:coreProperties>
</file>