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2FA5F" w14:textId="77777777" w:rsidR="00257BDC" w:rsidRDefault="00257BDC" w:rsidP="00257BDC">
      <w:pPr>
        <w:autoSpaceDE w:val="0"/>
        <w:autoSpaceDN w:val="0"/>
        <w:adjustRightInd w:val="0"/>
        <w:spacing w:after="0" w:line="240" w:lineRule="auto"/>
        <w:jc w:val="center"/>
        <w:rPr>
          <w:rFonts w:ascii="Arial" w:eastAsia="Calibri" w:hAnsi="Arial" w:cs="Arial"/>
          <w:b/>
          <w:bCs/>
          <w:kern w:val="0"/>
          <w14:ligatures w14:val="none"/>
        </w:rPr>
      </w:pPr>
    </w:p>
    <w:p w14:paraId="44BBF1A4" w14:textId="77777777" w:rsidR="00257BDC" w:rsidRPr="00257BDC" w:rsidRDefault="00257BDC" w:rsidP="00257BDC">
      <w:pPr>
        <w:autoSpaceDE w:val="0"/>
        <w:autoSpaceDN w:val="0"/>
        <w:adjustRightInd w:val="0"/>
        <w:spacing w:after="0" w:line="240" w:lineRule="auto"/>
        <w:jc w:val="center"/>
        <w:rPr>
          <w:rFonts w:ascii="Arial" w:eastAsia="Calibri" w:hAnsi="Arial" w:cs="Arial"/>
          <w:b/>
          <w:bCs/>
          <w:kern w:val="0"/>
          <w14:ligatures w14:val="none"/>
        </w:rPr>
      </w:pPr>
      <w:r w:rsidRPr="00257BDC">
        <w:rPr>
          <w:rFonts w:ascii="Arial" w:eastAsia="Calibri" w:hAnsi="Arial" w:cs="Arial"/>
          <w:b/>
          <w:bCs/>
          <w:kern w:val="0"/>
          <w14:ligatures w14:val="none"/>
        </w:rPr>
        <w:t>CONTRATO</w:t>
      </w:r>
      <w:r>
        <w:rPr>
          <w:rFonts w:ascii="Arial" w:eastAsia="Calibri" w:hAnsi="Arial" w:cs="Arial"/>
          <w:b/>
          <w:bCs/>
          <w:kern w:val="0"/>
          <w14:ligatures w14:val="none"/>
        </w:rPr>
        <w:t xml:space="preserve"> Nº </w:t>
      </w:r>
      <w:r w:rsidR="001016F2">
        <w:rPr>
          <w:rFonts w:ascii="Arial" w:eastAsia="Calibri" w:hAnsi="Arial" w:cs="Arial"/>
          <w:b/>
          <w:bCs/>
          <w:kern w:val="0"/>
          <w14:ligatures w14:val="none"/>
        </w:rPr>
        <w:t>72</w:t>
      </w:r>
      <w:r>
        <w:rPr>
          <w:rFonts w:ascii="Arial" w:eastAsia="Calibri" w:hAnsi="Arial" w:cs="Arial"/>
          <w:b/>
          <w:bCs/>
          <w:kern w:val="0"/>
          <w14:ligatures w14:val="none"/>
        </w:rPr>
        <w:t>/2025</w:t>
      </w:r>
    </w:p>
    <w:p w14:paraId="79320654" w14:textId="77777777" w:rsidR="00257BDC" w:rsidRPr="00257BDC" w:rsidRDefault="00257BDC" w:rsidP="00257BDC">
      <w:pPr>
        <w:autoSpaceDE w:val="0"/>
        <w:autoSpaceDN w:val="0"/>
        <w:adjustRightInd w:val="0"/>
        <w:spacing w:after="0" w:line="240" w:lineRule="auto"/>
        <w:jc w:val="center"/>
        <w:rPr>
          <w:rFonts w:ascii="Arial" w:eastAsia="Calibri" w:hAnsi="Arial" w:cs="Arial"/>
          <w:b/>
          <w:bCs/>
          <w:kern w:val="0"/>
          <w:sz w:val="2"/>
          <w:szCs w:val="2"/>
          <w14:ligatures w14:val="none"/>
        </w:rPr>
      </w:pPr>
    </w:p>
    <w:p w14:paraId="0F29B7FC" w14:textId="77777777" w:rsidR="00257BDC" w:rsidRPr="00257BDC" w:rsidRDefault="00257BDC" w:rsidP="00257BDC">
      <w:pPr>
        <w:autoSpaceDE w:val="0"/>
        <w:autoSpaceDN w:val="0"/>
        <w:adjustRightInd w:val="0"/>
        <w:spacing w:after="0" w:line="240" w:lineRule="auto"/>
        <w:rPr>
          <w:rFonts w:ascii="Arial" w:eastAsia="Calibri" w:hAnsi="Arial" w:cs="Arial"/>
          <w:kern w:val="0"/>
          <w14:ligatures w14:val="none"/>
        </w:rPr>
      </w:pPr>
    </w:p>
    <w:p w14:paraId="4E83EE9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Pelo presente instrumento, </w:t>
      </w:r>
      <w:r w:rsidRPr="00257BDC">
        <w:rPr>
          <w:rFonts w:ascii="Arial" w:eastAsia="Calibri" w:hAnsi="Arial" w:cs="Arial"/>
          <w:b/>
          <w:bCs/>
          <w:kern w:val="0"/>
          <w14:ligatures w14:val="none"/>
        </w:rPr>
        <w:t>O MUNICÍPIO DE MIRAGUAÍ, ESTADO DO RIO GRANDE DO SUL</w:t>
      </w:r>
      <w:r w:rsidRPr="00257BDC">
        <w:rPr>
          <w:rFonts w:ascii="Arial" w:eastAsia="Calibri" w:hAnsi="Arial" w:cs="Arial"/>
          <w:kern w:val="0"/>
          <w14:ligatures w14:val="none"/>
        </w:rPr>
        <w:t xml:space="preserve">, com sede na Avenida Ijuí, 1593, Bairro Centro, na cidade de </w:t>
      </w:r>
      <w:r w:rsidRPr="00257BDC">
        <w:rPr>
          <w:rFonts w:ascii="Arial" w:eastAsia="Calibri" w:hAnsi="Arial" w:cs="Arial"/>
          <w:b/>
          <w:kern w:val="0"/>
          <w14:ligatures w14:val="none"/>
        </w:rPr>
        <w:t>MIRAGUAÍ</w:t>
      </w:r>
      <w:r w:rsidRPr="00257BDC">
        <w:rPr>
          <w:rFonts w:ascii="Arial" w:eastAsia="Calibri" w:hAnsi="Arial" w:cs="Arial"/>
          <w:kern w:val="0"/>
          <w14:ligatures w14:val="none"/>
        </w:rPr>
        <w:t xml:space="preserve">, representado neste ato pelo Prefeito Municipal, Senhor </w:t>
      </w:r>
      <w:r w:rsidRPr="00257BDC">
        <w:rPr>
          <w:rFonts w:ascii="Arial" w:eastAsia="Calibri" w:hAnsi="Arial" w:cs="Arial"/>
          <w:b/>
          <w:kern w:val="0"/>
          <w14:ligatures w14:val="none"/>
        </w:rPr>
        <w:t xml:space="preserve">LEONIR HARTK, </w:t>
      </w:r>
      <w:r w:rsidRPr="00257BDC">
        <w:rPr>
          <w:rFonts w:ascii="Arial" w:eastAsia="Calibri" w:hAnsi="Arial" w:cs="Arial"/>
          <w:kern w:val="0"/>
          <w14:ligatures w14:val="none"/>
        </w:rPr>
        <w:t>brasileiro, residente e domiciliado na Rua Maracanã, nº 195, Centro - Miraguaí/RS, inscrito no CPF: 274.569.430-87, e do outro lado, a</w:t>
      </w:r>
      <w:r w:rsidRPr="00257BDC">
        <w:rPr>
          <w:rFonts w:ascii="Arial" w:eastAsia="Times New Roman" w:hAnsi="Arial" w:cs="Arial"/>
          <w:kern w:val="0"/>
          <w:lang w:eastAsia="pt-BR"/>
          <w14:ligatures w14:val="none"/>
        </w:rPr>
        <w:t xml:space="preserve"> Pessoa Física Sr</w:t>
      </w:r>
      <w:r>
        <w:rPr>
          <w:rFonts w:ascii="Arial" w:eastAsia="Times New Roman" w:hAnsi="Arial" w:cs="Arial"/>
          <w:kern w:val="0"/>
          <w:lang w:eastAsia="pt-BR"/>
          <w14:ligatures w14:val="none"/>
        </w:rPr>
        <w:t>.</w:t>
      </w:r>
      <w:r w:rsidRPr="00257BDC">
        <w:rPr>
          <w:rFonts w:ascii="Arial" w:eastAsia="Times New Roman" w:hAnsi="Arial" w:cs="Arial"/>
          <w:bCs/>
          <w:color w:val="000000"/>
          <w:kern w:val="0"/>
          <w:lang w:eastAsia="zh-CN"/>
          <w14:ligatures w14:val="none"/>
        </w:rPr>
        <w:t xml:space="preserve"> </w:t>
      </w:r>
      <w:bookmarkStart w:id="0" w:name="_Hlk210900315"/>
      <w:r w:rsidRPr="00257BDC">
        <w:rPr>
          <w:rFonts w:ascii="Arial" w:eastAsia="Times New Roman" w:hAnsi="Arial" w:cs="Arial"/>
          <w:bCs/>
          <w:kern w:val="0"/>
          <w:lang w:eastAsia="pt-BR"/>
          <w14:ligatures w14:val="none"/>
        </w:rPr>
        <w:t>GIANCARLO PETERLONGO LORENZINI MENEGOTTO</w:t>
      </w:r>
      <w:bookmarkEnd w:id="0"/>
      <w:r w:rsidRPr="00257BDC">
        <w:rPr>
          <w:rFonts w:ascii="Arial" w:eastAsia="Times New Roman" w:hAnsi="Arial" w:cs="Arial"/>
          <w:kern w:val="0"/>
          <w:lang w:eastAsia="pt-BR"/>
          <w14:ligatures w14:val="none"/>
        </w:rPr>
        <w:t>,</w:t>
      </w:r>
      <w:r w:rsidR="00046371">
        <w:rPr>
          <w:rFonts w:ascii="Arial" w:eastAsia="Times New Roman" w:hAnsi="Arial" w:cs="Arial"/>
          <w:kern w:val="0"/>
          <w:lang w:eastAsia="pt-BR"/>
          <w14:ligatures w14:val="none"/>
        </w:rPr>
        <w:t xml:space="preserve"> </w:t>
      </w:r>
      <w:r w:rsidR="00046371" w:rsidRPr="00046371">
        <w:rPr>
          <w:rFonts w:ascii="Arial" w:eastAsia="Times New Roman" w:hAnsi="Arial" w:cs="Arial"/>
          <w:kern w:val="0"/>
          <w:lang w:eastAsia="pt-BR"/>
          <w14:ligatures w14:val="none"/>
        </w:rPr>
        <w:t>Registro na Junta Comercial nº: 180/2003</w:t>
      </w:r>
      <w:r w:rsidR="00046371">
        <w:rPr>
          <w:rFonts w:ascii="Arial" w:eastAsia="Times New Roman" w:hAnsi="Arial" w:cs="Arial"/>
          <w:kern w:val="0"/>
          <w:lang w:eastAsia="pt-BR"/>
          <w14:ligatures w14:val="none"/>
        </w:rPr>
        <w:t>,</w:t>
      </w:r>
      <w:r w:rsidRPr="00257BDC">
        <w:rPr>
          <w:rFonts w:ascii="Arial" w:eastAsia="Times New Roman" w:hAnsi="Arial" w:cs="Arial"/>
          <w:kern w:val="0"/>
          <w:lang w:eastAsia="pt-BR"/>
          <w14:ligatures w14:val="none"/>
        </w:rPr>
        <w:t xml:space="preserve"> </w:t>
      </w:r>
      <w:r w:rsidR="00046371" w:rsidRPr="00046371">
        <w:rPr>
          <w:rFonts w:ascii="Arial" w:eastAsia="Times New Roman" w:hAnsi="Arial" w:cs="Arial"/>
          <w:kern w:val="0"/>
          <w:lang w:eastAsia="pt-BR"/>
          <w14:ligatures w14:val="none"/>
        </w:rPr>
        <w:t>com Carteira de Exercício Profissional de nº 008</w:t>
      </w:r>
      <w:r w:rsidRPr="00257BDC">
        <w:rPr>
          <w:rFonts w:ascii="Arial" w:eastAsia="Times New Roman" w:hAnsi="Arial" w:cs="Arial"/>
          <w:kern w:val="0"/>
          <w:lang w:eastAsia="pt-BR"/>
          <w14:ligatures w14:val="none"/>
        </w:rPr>
        <w:t>,</w:t>
      </w:r>
      <w:r w:rsidR="00047BE5">
        <w:rPr>
          <w:rFonts w:ascii="Arial" w:eastAsia="Times New Roman" w:hAnsi="Arial" w:cs="Arial"/>
          <w:kern w:val="0"/>
          <w:lang w:eastAsia="pt-BR"/>
          <w14:ligatures w14:val="none"/>
        </w:rPr>
        <w:t xml:space="preserve"> inscrito no </w:t>
      </w:r>
      <w:r w:rsidR="00047BE5" w:rsidRPr="00257BDC">
        <w:rPr>
          <w:rFonts w:ascii="Arial" w:eastAsia="Times New Roman" w:hAnsi="Arial" w:cs="Arial"/>
          <w:kern w:val="0"/>
          <w:lang w:eastAsia="pt-BR"/>
          <w14:ligatures w14:val="none"/>
        </w:rPr>
        <w:t xml:space="preserve">CPF nº </w:t>
      </w:r>
      <w:r w:rsidR="00047BE5" w:rsidRPr="00047BE5">
        <w:rPr>
          <w:rFonts w:ascii="Arial" w:eastAsia="Times New Roman" w:hAnsi="Arial" w:cs="Arial"/>
          <w:kern w:val="0"/>
          <w:lang w:eastAsia="pt-BR"/>
          <w14:ligatures w14:val="none"/>
        </w:rPr>
        <w:t>587.159.750-53</w:t>
      </w:r>
      <w:r w:rsidR="00047BE5">
        <w:rPr>
          <w:rFonts w:ascii="Arial" w:eastAsia="Times New Roman" w:hAnsi="Arial" w:cs="Arial"/>
          <w:kern w:val="0"/>
          <w:lang w:eastAsia="pt-BR"/>
          <w14:ligatures w14:val="none"/>
        </w:rPr>
        <w:t>,</w:t>
      </w:r>
      <w:r w:rsidRPr="00257BDC">
        <w:rPr>
          <w:rFonts w:ascii="Arial" w:eastAsia="Times New Roman" w:hAnsi="Arial" w:cs="Arial"/>
          <w:kern w:val="0"/>
          <w:lang w:eastAsia="pt-BR"/>
          <w14:ligatures w14:val="none"/>
        </w:rPr>
        <w:t xml:space="preserve"> designado LEILOEIRO PARA A REALIZAÇÃO POR MEIO DE LEILÃO ONLINE E PRESENCIAL DE BENS MÓVEIS INSERVÍVEIS DA PREFEITURA MUNICIPAL DE MIRAGUAÍ – RS, CPF nº </w:t>
      </w:r>
      <w:r w:rsidR="00047BE5" w:rsidRPr="00047BE5">
        <w:rPr>
          <w:rFonts w:ascii="Arial" w:eastAsia="Times New Roman" w:hAnsi="Arial" w:cs="Arial"/>
          <w:kern w:val="0"/>
          <w:lang w:eastAsia="pt-BR"/>
          <w14:ligatures w14:val="none"/>
        </w:rPr>
        <w:t>587.159.750-53</w:t>
      </w:r>
      <w:r w:rsidRPr="00257BDC">
        <w:rPr>
          <w:rFonts w:ascii="Arial" w:eastAsia="Times New Roman" w:hAnsi="Arial" w:cs="Arial"/>
          <w:kern w:val="0"/>
          <w:lang w:eastAsia="pt-BR"/>
          <w14:ligatures w14:val="none"/>
        </w:rPr>
        <w:t>, aqui simplesmente denominada CONTRATADA</w:t>
      </w:r>
      <w:r w:rsidRPr="00257BDC">
        <w:rPr>
          <w:rFonts w:ascii="Arial" w:eastAsia="Calibri" w:hAnsi="Arial" w:cs="Arial"/>
          <w:kern w:val="0"/>
          <w14:ligatures w14:val="none"/>
        </w:rPr>
        <w:t xml:space="preserve">, fundamentados a Lei Federal nº 14.133/2021, norteiam as Licitações e Contratos Administrativos, mediante as cláusulas e condições seguintes: </w:t>
      </w:r>
    </w:p>
    <w:p w14:paraId="366467C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44EEFA9D"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PRIMEIRA – OBJETO </w:t>
      </w:r>
    </w:p>
    <w:p w14:paraId="1F113C64"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73469C9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Constitui objeto deste contrato, a contratação de Leiloeiro oficial para a realização de </w:t>
      </w:r>
      <w:r w:rsidRPr="00257BDC">
        <w:rPr>
          <w:rFonts w:ascii="Arial" w:eastAsia="Calibri" w:hAnsi="Arial" w:cs="Arial"/>
          <w:b/>
          <w:bCs/>
          <w:kern w:val="0"/>
          <w14:ligatures w14:val="none"/>
        </w:rPr>
        <w:t>leilões de bens móveis</w:t>
      </w:r>
      <w:r w:rsidRPr="00257BDC">
        <w:rPr>
          <w:rFonts w:ascii="Arial" w:eastAsia="Calibri" w:hAnsi="Arial" w:cs="Arial"/>
          <w:kern w:val="0"/>
          <w14:ligatures w14:val="none"/>
        </w:rPr>
        <w:t xml:space="preserve">, nos termos do Decreto Federal nº 21.981/32. </w:t>
      </w:r>
    </w:p>
    <w:p w14:paraId="76F366D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ÚNICO </w:t>
      </w:r>
      <w:r w:rsidRPr="00257BDC">
        <w:rPr>
          <w:rFonts w:ascii="Arial" w:eastAsia="Calibri" w:hAnsi="Arial" w:cs="Arial"/>
          <w:kern w:val="0"/>
          <w14:ligatures w14:val="none"/>
        </w:rPr>
        <w:t>– Os serviços, objeto deste contrato, são adjudicados, à Contratada, em decorrência do Credenciamento nº 04/2025 e seus respectivos anexos que integram este instrumento, independentemente de transcrição.</w:t>
      </w:r>
    </w:p>
    <w:p w14:paraId="72BE03B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 </w:t>
      </w:r>
    </w:p>
    <w:p w14:paraId="7EA1CF82"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SEGUNDA – VINCULAÇÃO E GERENCIAMENTO </w:t>
      </w:r>
    </w:p>
    <w:p w14:paraId="20A29F7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19CB9D9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2.1 </w:t>
      </w:r>
      <w:r w:rsidRPr="00257BDC">
        <w:rPr>
          <w:rFonts w:ascii="Arial" w:eastAsia="Calibri" w:hAnsi="Arial" w:cs="Arial"/>
          <w:kern w:val="0"/>
          <w14:ligatures w14:val="none"/>
        </w:rPr>
        <w:t xml:space="preserve">– </w:t>
      </w:r>
      <w:r w:rsidRPr="00257BDC">
        <w:rPr>
          <w:rFonts w:ascii="Arial" w:eastAsia="Calibri" w:hAnsi="Arial" w:cs="Arial"/>
          <w:b/>
          <w:bCs/>
          <w:kern w:val="0"/>
          <w14:ligatures w14:val="none"/>
        </w:rPr>
        <w:t xml:space="preserve">Da Vinculação </w:t>
      </w:r>
    </w:p>
    <w:p w14:paraId="3368DCF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O presente Contrato está vinculado aos termos do Credenciamento número 04/2025 e seus respectivos Anexos, que integram este documento independentemente de transcrição. </w:t>
      </w:r>
    </w:p>
    <w:p w14:paraId="58F2551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2.2 </w:t>
      </w:r>
      <w:r w:rsidRPr="00257BDC">
        <w:rPr>
          <w:rFonts w:ascii="Arial" w:eastAsia="Calibri" w:hAnsi="Arial" w:cs="Arial"/>
          <w:kern w:val="0"/>
          <w14:ligatures w14:val="none"/>
        </w:rPr>
        <w:t xml:space="preserve">– </w:t>
      </w:r>
      <w:r w:rsidRPr="00257BDC">
        <w:rPr>
          <w:rFonts w:ascii="Arial" w:eastAsia="Calibri" w:hAnsi="Arial" w:cs="Arial"/>
          <w:b/>
          <w:bCs/>
          <w:kern w:val="0"/>
          <w14:ligatures w14:val="none"/>
        </w:rPr>
        <w:t xml:space="preserve">Do Gerenciamento </w:t>
      </w:r>
    </w:p>
    <w:p w14:paraId="63B706E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O acompanhamento e o gerenciamento deste Contrato serão exercidos pela Secretaria Municipal de Administração através do servidor designado pela portaria nº 049/2025, à qual se reportará sempre a Contratada, para informações e resolução de eventuais problemas. </w:t>
      </w:r>
    </w:p>
    <w:p w14:paraId="7F90CAE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70C59500"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TERCEIRA – CONDIÇÕES PARA A OPERACIONALIZAÇÃO DOS LEILÕES </w:t>
      </w:r>
    </w:p>
    <w:p w14:paraId="66F2161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70472CC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 contratada deverá realizar os seguintes trabalhos, para operacionalização do leilão: </w:t>
      </w:r>
    </w:p>
    <w:p w14:paraId="758DAAC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I – Definir, juntamente com a Secretaria de Administração e Finanças e setores responsáveis, instituída por meio da portaria, os devidos loteis de moveis a serem leiloados;</w:t>
      </w:r>
    </w:p>
    <w:p w14:paraId="56DC8DA5"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II – Definir, juntamente com a secretaria de administração e Finanças e setores responsáveis, as condições de venda e as regras para os participantes, inclusive, estabelecendo lances mínimos; </w:t>
      </w:r>
    </w:p>
    <w:p w14:paraId="6632E38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III – Promover na forma prevista a divulgação do leilão, da qual será por meio de publicação em jornal de circulação local, jornal de circulação estadual, Diário Oficial do Estado do Rio Grande do Sul, conforme estabelecido na lei 14.133/2021; </w:t>
      </w:r>
    </w:p>
    <w:p w14:paraId="4950BF0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IV – Disponibilizar estrutura de pessoal necessária a realização do leilão.</w:t>
      </w:r>
    </w:p>
    <w:p w14:paraId="39BCBCA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V </w:t>
      </w:r>
      <w:proofErr w:type="gramStart"/>
      <w:r w:rsidRPr="00257BDC">
        <w:rPr>
          <w:rFonts w:ascii="Arial" w:eastAsia="Calibri" w:hAnsi="Arial" w:cs="Arial"/>
          <w:kern w:val="0"/>
          <w14:ligatures w14:val="none"/>
        </w:rPr>
        <w:t>-  Os</w:t>
      </w:r>
      <w:proofErr w:type="gramEnd"/>
      <w:r w:rsidRPr="00257BDC">
        <w:rPr>
          <w:rFonts w:ascii="Arial" w:eastAsia="Calibri" w:hAnsi="Arial" w:cs="Arial"/>
          <w:kern w:val="0"/>
          <w14:ligatures w14:val="none"/>
        </w:rPr>
        <w:t xml:space="preserve"> bens arrematados serão pagos pelo arrematante após a assinatura da ata do leilão, a vista no percentual estabelecido no edital especifico do leilão, não podendo ser </w:t>
      </w:r>
      <w:r w:rsidRPr="00257BDC">
        <w:rPr>
          <w:rFonts w:ascii="Arial" w:eastAsia="Calibri" w:hAnsi="Arial" w:cs="Arial"/>
          <w:kern w:val="0"/>
          <w14:ligatures w14:val="none"/>
        </w:rPr>
        <w:lastRenderedPageBreak/>
        <w:t xml:space="preserve">inferior a 5% (cinco) do valor do bem arrematado, sendo de responsabilidade do arrematante. </w:t>
      </w:r>
    </w:p>
    <w:p w14:paraId="189EB92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1C31B628"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QUARTA – VIGÊNCIA DO CONTRATO </w:t>
      </w:r>
    </w:p>
    <w:p w14:paraId="3A25DDB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59B7B6B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 vigência do contrato será de 12 meses ou até o fim dos trâmites legais do leilão a qual foi sorteado. </w:t>
      </w:r>
    </w:p>
    <w:p w14:paraId="77EA0A6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689F30BE"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QUINTA – VALOR DA CONTRATAÇÃO </w:t>
      </w:r>
    </w:p>
    <w:p w14:paraId="3E1DE2E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Este contrato não gerará ônus para o CONTRATANTE. </w:t>
      </w:r>
    </w:p>
    <w:p w14:paraId="1B97B29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25ABBE99"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CLÁUSULA SEXTA – OBRIGAÇÕES E RESPONSABILIDADE DAS PARTES</w:t>
      </w:r>
    </w:p>
    <w:p w14:paraId="48BBC8B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6.1 - OBRIGAÇÕES DA CONTRATADA </w:t>
      </w:r>
    </w:p>
    <w:p w14:paraId="670F620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Além das obrigações previstas na Cláusula Terceira, compete, ainda, à Contratada: </w:t>
      </w:r>
    </w:p>
    <w:p w14:paraId="5431838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 – Elaborar os editais de leilão, encaminhando-os à Comissão de Licitação, para análise e aprovação da autoridade superior da Contratante; </w:t>
      </w:r>
    </w:p>
    <w:p w14:paraId="0A90E1F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6.1.3 – Destinar e preparar o local para o leilão, dotando-o de todos os equipamentos necessários à realização do evento; </w:t>
      </w:r>
    </w:p>
    <w:p w14:paraId="7338779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6.1.4 – Arcar com todas as despesas decorrentes da execução dos serviços necessários à realização do leilão, sem quaisquer ônus para a Contratante; </w:t>
      </w:r>
    </w:p>
    <w:p w14:paraId="5851FAE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6.1.5 – Divulgar o leilão por meio de jornal de grande circulação e por folder, faixas, cartazes informativos ou outros meios de comunicação, disponibilizando a descrição dos bens e as fotos em site da internet; </w:t>
      </w:r>
    </w:p>
    <w:p w14:paraId="5C128E2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6.1.5.1 – A divulgação através de mala direta deverá ser feita com o envio de pelo menos 100 (cem) malas diretas; </w:t>
      </w:r>
    </w:p>
    <w:p w14:paraId="4EE3ACF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6.1.5.2 – O material de divulgação deverá ser submetido à análise e aprovação da Contratante, com antecedência mínima de 5 (cinco) dias úteis da data da realização do evento; </w:t>
      </w:r>
    </w:p>
    <w:p w14:paraId="0F6FF1FA"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6.1.5.3 – O prazo mínimo da divulgação até a realização do leilão será de 15 (quinze) dias, contados da última publicação; </w:t>
      </w:r>
    </w:p>
    <w:p w14:paraId="54A2C0A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6.1.6 – Fazer constar, no material de divulgação, a descrição e a foto dos bens a serem leiloados, bem como demais informações relevantes sobre o leilão, telefones e endereço eletrônico (e-mail) para contatos e esclarecimentos adicionais; </w:t>
      </w:r>
    </w:p>
    <w:p w14:paraId="02C6001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6.1.7 – Identificar e selecionar os bens, organizando-os em lotes, contribuindo para facilitar o leilão, tudo sob a coordenação da Contratante; </w:t>
      </w:r>
    </w:p>
    <w:p w14:paraId="00FF47E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6.1.8 – Oferecer segurança ao local do evento, aos participantes e aos valores e documentos envolvidos no mesmo até a efetiva entrega ao arrematante; </w:t>
      </w:r>
    </w:p>
    <w:p w14:paraId="5C75596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6.1.9 – Divulgar o leilão na imprensa por 02 (duas) vezes, com intervalos mínimos de 03 (três) dias, obedecido o prazo estipulado no subitem 6.1.5.3; </w:t>
      </w:r>
    </w:p>
    <w:p w14:paraId="1CF4C7D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6.1.10 – Conduzir o leilão e responsabilizar-se por todos os atos administrativos de sua competência até o encerramento, com a devida prestação de contas; </w:t>
      </w:r>
    </w:p>
    <w:p w14:paraId="75A4607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6.1.11.1 – A prestação de contas inicial deverá ser feita após o encerramento, indicando os bens arrematados, respectivos valores unitários e os possíveis bens não arrematados, devendo informar, ainda, a condição em que os bens foram arrematados;</w:t>
      </w:r>
    </w:p>
    <w:p w14:paraId="3E16C19A"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6.1.11.2 – Posteriormente, será apresentada a prestação de contas final, inclusive com demonstrativos, em até 10 (dez) dias, contados a partir da data da prestação de contas inicial, após cumpridas as obrigações previstas no edital; </w:t>
      </w:r>
    </w:p>
    <w:p w14:paraId="0A0E064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6.1.12 – Fornecer aos arrematantes vencedores os Autos de Arrematação e os recibos das comissões pagas. </w:t>
      </w:r>
    </w:p>
    <w:p w14:paraId="57141A7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6.1.13 – Entregar ao arrematante a documentação, em </w:t>
      </w:r>
      <w:proofErr w:type="spellStart"/>
      <w:r w:rsidRPr="00257BDC">
        <w:rPr>
          <w:rFonts w:ascii="Arial" w:eastAsia="Calibri" w:hAnsi="Arial" w:cs="Arial"/>
          <w:kern w:val="0"/>
          <w14:ligatures w14:val="none"/>
        </w:rPr>
        <w:t>co-responsabilidade</w:t>
      </w:r>
      <w:proofErr w:type="spellEnd"/>
      <w:r w:rsidRPr="00257BDC">
        <w:rPr>
          <w:rFonts w:ascii="Arial" w:eastAsia="Calibri" w:hAnsi="Arial" w:cs="Arial"/>
          <w:kern w:val="0"/>
          <w14:ligatures w14:val="none"/>
        </w:rPr>
        <w:t xml:space="preserve"> com a Secretaria de Administração e Finanças, providenciando o respectivo desembaraço de toda documentação, conforme o caso; </w:t>
      </w:r>
    </w:p>
    <w:p w14:paraId="3947984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lastRenderedPageBreak/>
        <w:t xml:space="preserve">6.1.14 – Atender às solicitações feitas pela Contratante e mantê-la informada sobre qualquer ocorrência incomum relacionada ao leilão; </w:t>
      </w:r>
    </w:p>
    <w:p w14:paraId="0AA8AD5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6.1.15 – Apresentar Ata circunstanciada, com seu respectivo relatório, à Comissão Permanente de Licitação, após a realização da sessão pública do certame; </w:t>
      </w:r>
    </w:p>
    <w:p w14:paraId="040F81A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6.1.16 – Devolver a comissão paga pelo (s) arrematante (s), no prazo de 2 (dois) dias úteis, caso ocorra anulação do leilão por decisão judicial; </w:t>
      </w:r>
    </w:p>
    <w:p w14:paraId="61EDDEB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6.1.17 – Pagar os tributos federais, estaduais, municipais, inclusive multas, seguros, contribuições e outros encargos decorrentes do contrato específico do leilão a ser realizado, exceto aqueles tributos que, por força de legislação específica, forem de responsabilidade do CONTRATANTE; </w:t>
      </w:r>
    </w:p>
    <w:p w14:paraId="7D855C9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6.1.18 – Responsabilizar-se pelos salários, encargos sociais, previdenciários, securitários, taxas, impostos e quaisquer outros que incidam ou venham a incidir sobre seu pessoal necessário à execução do leilão; </w:t>
      </w:r>
    </w:p>
    <w:p w14:paraId="003E8F83"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6.1.19 – Apresentar, sempre que solicitado pela Contratante, comprovação de cumprimento das obrigações tributárias e sociais, legalmente exigíveis; </w:t>
      </w:r>
    </w:p>
    <w:p w14:paraId="7B1448F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6.1.20 – Comprovar as condições de credenciamento exigidas no edital no momento da assinatura do contrato, e mantê-las durante toda a vigência do mesmo; </w:t>
      </w:r>
    </w:p>
    <w:p w14:paraId="5440044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6.1.21 – Guardar sigilo das informações que lhe serão repassadas para cumprimento do contrato e responsabilizar-se, perante a Contratante, pela indenização de eventuais danos decorrentes da quebra do sigilo dessas informações, ou pelo seu uso indevido; </w:t>
      </w:r>
    </w:p>
    <w:p w14:paraId="36F1B44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6.1.22 – Responsabilizar-se por todos e quaisquer danos e/ou prejuízos que vierem a causar à Contratante ou a terceiros, tendo como agente a Contratada, na pessoa de prepostos ou estranhos; </w:t>
      </w:r>
    </w:p>
    <w:p w14:paraId="719E958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6.1.23 – Submeter previamente à aprovação da Contratante, qualquer material ou peça publicitária sobre o evento. Neste tópico devem ser estipuladas todas as obrigações julgadas necessárias para o cumprimento integral do objeto e constituirão os encargos do sujeito a ser contratado; </w:t>
      </w:r>
    </w:p>
    <w:p w14:paraId="6BDB7F0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6.1.24 – Publicar o aviso do edital de leilão, em jornal de grande circulação na região, e divulgar pelos meios de comunicação próprios, observados os prazos fixados pela Lei. </w:t>
      </w:r>
    </w:p>
    <w:p w14:paraId="5EA472A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6.1.25 – Realizar o leilão nas datas fixadas no edital; </w:t>
      </w:r>
    </w:p>
    <w:p w14:paraId="65CE4A8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6.1.26 – Disponibilizar dados cadastrais, principalmente contato telefônico para ligações dos interessados; </w:t>
      </w:r>
    </w:p>
    <w:p w14:paraId="360EE8A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6.1.27 – Emitir as notas fiscais, cartas de arrematação e alvarás de liberação, a serem assinadas pelo Presidente da Comissão de Sindicância, devendo a entrega dos bens arrematados ser feita pela Contratante; </w:t>
      </w:r>
    </w:p>
    <w:p w14:paraId="75010C7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6.1.28 – Preparar, encaminhar e acompanhar o andamento de toda a documentação necessária à transferência dos bens, junto aos Órgãos Fazendários e outros, do Rio Grande do Sul e demais Estados da Federação, até a liberação final do bem; </w:t>
      </w:r>
    </w:p>
    <w:p w14:paraId="44470B7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6.1.28.1 – Para que a Contratante possa proceder à entrega dos bens, caberá à Contratada tomar todas as providências para sanar quaisquer embaraços existentes;</w:t>
      </w:r>
    </w:p>
    <w:p w14:paraId="74909C5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6.1.28.2 – Havendo necessidade de aprovação da Autoridade Superior do CONTRATANTE, o documento deverá ser encaminhado à Comissão de Sindicância, para as providências pertinentes; </w:t>
      </w:r>
    </w:p>
    <w:p w14:paraId="6ACA9EF4"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6.1.29. Zelar pelo numerário resultante da arrematação até quitação dos débitos dos bens e eventual devolução do saldo ao </w:t>
      </w:r>
      <w:proofErr w:type="spellStart"/>
      <w:r w:rsidRPr="00257BDC">
        <w:rPr>
          <w:rFonts w:ascii="Arial" w:eastAsia="Calibri" w:hAnsi="Arial" w:cs="Arial"/>
          <w:kern w:val="0"/>
          <w14:ligatures w14:val="none"/>
        </w:rPr>
        <w:t>ex</w:t>
      </w:r>
      <w:proofErr w:type="spellEnd"/>
      <w:r w:rsidRPr="00257BDC">
        <w:rPr>
          <w:rFonts w:ascii="Arial" w:eastAsia="Calibri" w:hAnsi="Arial" w:cs="Arial"/>
          <w:kern w:val="0"/>
          <w14:ligatures w14:val="none"/>
        </w:rPr>
        <w:t xml:space="preserve">–proprietário, possibilitando o “fechamento” do procedimento e relatório final. </w:t>
      </w:r>
    </w:p>
    <w:p w14:paraId="7A40DF7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6.1.30 – elaborar o relatório final do leilão e suas respectivas atas; </w:t>
      </w:r>
    </w:p>
    <w:p w14:paraId="25C9B69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6.1.31 – Tomar todas as providências necessárias à entrega dos bens ao arrematante sem qualquer ônus adicional para o mesmo; </w:t>
      </w:r>
    </w:p>
    <w:p w14:paraId="466DA68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779A5850"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6.2 – OBRIGAÇÕES DO CONTRATANTE </w:t>
      </w:r>
    </w:p>
    <w:p w14:paraId="773AFC0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lastRenderedPageBreak/>
        <w:t xml:space="preserve">6.2.1 – Nomear a Comissão de Licitação, conforme o objeto a ser alienado; </w:t>
      </w:r>
    </w:p>
    <w:p w14:paraId="2CE2B7D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6.2.2 – Apresentar à Contratada a relação dos bens a serem disponibilizados para o leilão; </w:t>
      </w:r>
    </w:p>
    <w:p w14:paraId="10B26D5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6.2.3 – Prestar todos esclarecimentos e informações necessários ao bom andamento do processo de leilão</w:t>
      </w:r>
      <w:r w:rsidRPr="00257BDC">
        <w:rPr>
          <w:rFonts w:ascii="Arial" w:eastAsia="Calibri" w:hAnsi="Arial" w:cs="Arial"/>
          <w:b/>
          <w:bCs/>
          <w:kern w:val="0"/>
          <w14:ligatures w14:val="none"/>
        </w:rPr>
        <w:t xml:space="preserve">; </w:t>
      </w:r>
    </w:p>
    <w:p w14:paraId="281AA1F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6.2.4 – Acompanhar a prestação dos serviços verificando o cumprimento das obrigações assumidas pela Contratada; </w:t>
      </w:r>
    </w:p>
    <w:p w14:paraId="20C35885"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6.2.5 – Publicar em jornal de circulação local e site http://www.miraguai.rs.gov.br o extrato do edital do leilão, observado os prazos fixados pela Lei.</w:t>
      </w:r>
    </w:p>
    <w:p w14:paraId="0127A21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6.2.6 – Emitir o relatório final para publicação, em órgão oficial, da homologação e do resultado final; </w:t>
      </w:r>
    </w:p>
    <w:p w14:paraId="6882E41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6.2.7 – Proceder à entrega dos bens aos arrematantes. </w:t>
      </w:r>
    </w:p>
    <w:p w14:paraId="0074162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6.2.8 – Acompanhar todos os trabalhos da Contratada, conferindo a documentação relativa aos bens leiloados e, se for o caso, submetê-la à aprovação/assinatura da autoridade superior. </w:t>
      </w:r>
    </w:p>
    <w:p w14:paraId="0081A68A"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6.2.9 – Deliberar sobre os casos omissos e não previstos neste Contrato, observadas as disposições da Lei n.º 14.133/2021. </w:t>
      </w:r>
    </w:p>
    <w:p w14:paraId="08DEB89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6.2.10 – Avaliar previamente os bens. </w:t>
      </w:r>
    </w:p>
    <w:p w14:paraId="635CC15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4"/>
          <w:szCs w:val="14"/>
          <w14:ligatures w14:val="none"/>
        </w:rPr>
      </w:pPr>
    </w:p>
    <w:p w14:paraId="78716264"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SÉTIMA – LICITAÇÃO </w:t>
      </w:r>
    </w:p>
    <w:p w14:paraId="30D883E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4"/>
          <w:szCs w:val="14"/>
          <w14:ligatures w14:val="none"/>
        </w:rPr>
      </w:pPr>
    </w:p>
    <w:p w14:paraId="7D47F16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 licitação dos bens realizar-se-á na modalidade de leilão, por lote, tipo maior lance, nunca inferior ao valor da avaliação, cujo pagamento deverá ser efetuado pelo arrematante; </w:t>
      </w:r>
    </w:p>
    <w:p w14:paraId="4C05E69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ÚNICO </w:t>
      </w:r>
      <w:r w:rsidRPr="00257BDC">
        <w:rPr>
          <w:rFonts w:ascii="Arial" w:eastAsia="Calibri" w:hAnsi="Arial" w:cs="Arial"/>
          <w:kern w:val="0"/>
          <w14:ligatures w14:val="none"/>
        </w:rPr>
        <w:t xml:space="preserve">– Após o pagamento total do bem arrematado, o arrematante deverá comparecer no local indicado pelo Leiloeiro Oficial, para que o mesmo faça a emissão da Nota de Arrematação. </w:t>
      </w:r>
    </w:p>
    <w:p w14:paraId="196D3DB4"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0EE4D100"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OITAVA – FISCALIZAÇÃO </w:t>
      </w:r>
    </w:p>
    <w:p w14:paraId="7B329FB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60267B4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O Município realizará o acompanhamento da execução dos serviços credenciados por meio do fiscal designado através da Portaria nº 049/2025, devendo as intercorrências serem registradas em relatórios anexados ao processo do credenciado.</w:t>
      </w:r>
    </w:p>
    <w:p w14:paraId="3F547BC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271C8BF5"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NONA – PAGAMENTO </w:t>
      </w:r>
    </w:p>
    <w:p w14:paraId="0D31FE9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520180E2"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bookmarkStart w:id="1" w:name="_Hlk208300596"/>
      <w:r w:rsidRPr="00257BDC">
        <w:rPr>
          <w:rFonts w:ascii="Arial" w:eastAsia="Calibri" w:hAnsi="Arial" w:cs="Arial"/>
          <w:kern w:val="0"/>
          <w14:ligatures w14:val="none"/>
        </w:rPr>
        <w:t xml:space="preserve">Pelos serviços prestados pela CONTRATADA serão pagos, </w:t>
      </w:r>
      <w:r w:rsidRPr="00257BDC">
        <w:rPr>
          <w:rFonts w:ascii="Arial" w:eastAsia="Calibri" w:hAnsi="Arial" w:cs="Arial"/>
          <w:b/>
          <w:bCs/>
          <w:kern w:val="0"/>
          <w14:ligatures w14:val="none"/>
        </w:rPr>
        <w:t>exclusivamente pelo Arrematante</w:t>
      </w:r>
      <w:r w:rsidRPr="00257BDC">
        <w:rPr>
          <w:rFonts w:ascii="Arial" w:eastAsia="Calibri" w:hAnsi="Arial" w:cs="Arial"/>
          <w:kern w:val="0"/>
          <w14:ligatures w14:val="none"/>
        </w:rPr>
        <w:t xml:space="preserve">, a proporção de </w:t>
      </w:r>
      <w:r w:rsidRPr="00257BDC">
        <w:rPr>
          <w:rFonts w:ascii="Arial" w:eastAsia="Calibri" w:hAnsi="Arial" w:cs="Arial"/>
          <w:b/>
          <w:bCs/>
          <w:kern w:val="0"/>
          <w14:ligatures w14:val="none"/>
        </w:rPr>
        <w:t xml:space="preserve">5% (cinco por cento) </w:t>
      </w:r>
      <w:r w:rsidRPr="00257BDC">
        <w:rPr>
          <w:rFonts w:ascii="Arial" w:eastAsia="Calibri" w:hAnsi="Arial" w:cs="Arial"/>
          <w:kern w:val="0"/>
          <w14:ligatures w14:val="none"/>
        </w:rPr>
        <w:t xml:space="preserve">calculado sobre o valor do lance de arrematação, não sendo devido pelo CONTRATANTE qualquer ônus decorrente desta contratação. </w:t>
      </w:r>
    </w:p>
    <w:bookmarkEnd w:id="1"/>
    <w:p w14:paraId="1EBA529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6D003C2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CLÁUSULA DÉCIMA – EXTINÇÃO E RESCISÃO </w:t>
      </w:r>
    </w:p>
    <w:p w14:paraId="3D11A72C"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O Contrato resultará extinto ao término do prazo previsto na Cláusula Quarta, peremptoriamente, caso esse prazo não tenha sido prorrogado. </w:t>
      </w:r>
    </w:p>
    <w:p w14:paraId="6947239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ÚNICO </w:t>
      </w:r>
      <w:r w:rsidRPr="00257BDC">
        <w:rPr>
          <w:rFonts w:ascii="Arial" w:eastAsia="Calibri" w:hAnsi="Arial" w:cs="Arial"/>
          <w:kern w:val="0"/>
          <w14:ligatures w14:val="none"/>
        </w:rPr>
        <w:t xml:space="preserve">– A Contratante poderá rescindir administrativamente o presente contrato, independentemente de aviso ou interpelação judicial ou extrajudicial, nos casos previstos na Lei Federal n.º 14.133/2021. </w:t>
      </w:r>
    </w:p>
    <w:p w14:paraId="692C50AF"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sz w:val="10"/>
          <w:szCs w:val="10"/>
          <w14:ligatures w14:val="none"/>
        </w:rPr>
      </w:pPr>
    </w:p>
    <w:p w14:paraId="64202FB3" w14:textId="77777777" w:rsidR="00257BDC" w:rsidRPr="00257BDC" w:rsidRDefault="00257BDC" w:rsidP="00257BDC">
      <w:pPr>
        <w:autoSpaceDE w:val="0"/>
        <w:autoSpaceDN w:val="0"/>
        <w:adjustRightInd w:val="0"/>
        <w:spacing w:after="0" w:line="240" w:lineRule="auto"/>
        <w:jc w:val="both"/>
        <w:rPr>
          <w:rFonts w:ascii="Arial" w:eastAsia="Calibri" w:hAnsi="Arial" w:cs="Arial"/>
          <w:b/>
          <w:bCs/>
          <w:kern w:val="0"/>
          <w14:ligatures w14:val="none"/>
        </w:rPr>
      </w:pPr>
      <w:r w:rsidRPr="00257BDC">
        <w:rPr>
          <w:rFonts w:ascii="Arial" w:eastAsia="Calibri" w:hAnsi="Arial" w:cs="Arial"/>
          <w:b/>
          <w:bCs/>
          <w:kern w:val="0"/>
          <w14:ligatures w14:val="none"/>
        </w:rPr>
        <w:t xml:space="preserve">CLÁUSULA DÉCIMA PRIMEIRA – ANOTAÇÕES NO CADASTRO DE CREDENCIAMENTO E SANÇÕES ADMINISTRATIVAS </w:t>
      </w:r>
    </w:p>
    <w:p w14:paraId="41D2D5F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Serão registrados no cadastro de credenciamento da Contratada: </w:t>
      </w:r>
    </w:p>
    <w:p w14:paraId="5067732B"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 todos os fatos e faltas de caráter administrativo, comercial ou técnico referentes à sua atuação na condução do leilão; </w:t>
      </w:r>
    </w:p>
    <w:p w14:paraId="2BBA1DE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b) as penalidades aplicadas previstas neste Contrato. </w:t>
      </w:r>
    </w:p>
    <w:p w14:paraId="1E1AD6C1"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lastRenderedPageBreak/>
        <w:t>11.1 O licitante ou o contratado será responsabilizado administrativamente, mediante concessão do direito ao contraditório e à ampla defesa, pelas seguintes infrações:</w:t>
      </w:r>
    </w:p>
    <w:p w14:paraId="06AD72CC"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a)</w:t>
      </w:r>
      <w:r w:rsidRPr="00257BDC">
        <w:rPr>
          <w:rFonts w:ascii="Arial" w:eastAsia="Arial" w:hAnsi="Arial" w:cs="Arial"/>
          <w:kern w:val="0"/>
          <w:lang w:eastAsia="pt-BR"/>
          <w14:ligatures w14:val="none"/>
        </w:rPr>
        <w:t xml:space="preserve"> dar causa à inexecução parcial do contrato;</w:t>
      </w:r>
    </w:p>
    <w:p w14:paraId="4719B6EE"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b)</w:t>
      </w:r>
      <w:r w:rsidRPr="00257BDC">
        <w:rPr>
          <w:rFonts w:ascii="Arial" w:eastAsia="Arial" w:hAnsi="Arial" w:cs="Arial"/>
          <w:kern w:val="0"/>
          <w:lang w:eastAsia="pt-BR"/>
          <w14:ligatures w14:val="none"/>
        </w:rPr>
        <w:t xml:space="preserve"> dar causa à inexecução parcial do contrato que cause grave dano à Administração, ao funcionamento dos serviços públicos ou ao interesse coletivo;</w:t>
      </w:r>
    </w:p>
    <w:p w14:paraId="408B927E"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 xml:space="preserve">c) </w:t>
      </w:r>
      <w:r w:rsidRPr="00257BDC">
        <w:rPr>
          <w:rFonts w:ascii="Arial" w:eastAsia="Arial" w:hAnsi="Arial" w:cs="Arial"/>
          <w:kern w:val="0"/>
          <w:lang w:eastAsia="pt-BR"/>
          <w14:ligatures w14:val="none"/>
        </w:rPr>
        <w:t>dar causa à inexecução total do contrato;</w:t>
      </w:r>
    </w:p>
    <w:p w14:paraId="457FB0EF"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d)</w:t>
      </w:r>
      <w:r w:rsidRPr="00257BDC">
        <w:rPr>
          <w:rFonts w:ascii="Arial" w:eastAsia="Arial" w:hAnsi="Arial" w:cs="Arial"/>
          <w:kern w:val="0"/>
          <w:lang w:eastAsia="pt-BR"/>
          <w14:ligatures w14:val="none"/>
        </w:rPr>
        <w:t xml:space="preserve"> deixar de entregar a documentação exigida para o certame;</w:t>
      </w:r>
    </w:p>
    <w:p w14:paraId="4EB38D66"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e)</w:t>
      </w:r>
      <w:r w:rsidRPr="00257BDC">
        <w:rPr>
          <w:rFonts w:ascii="Arial" w:eastAsia="Arial" w:hAnsi="Arial" w:cs="Arial"/>
          <w:kern w:val="0"/>
          <w:lang w:eastAsia="pt-BR"/>
          <w14:ligatures w14:val="none"/>
        </w:rPr>
        <w:t xml:space="preserve"> não manter a proposta, salvo em decorrência de fato superveniente devidamente justificado;</w:t>
      </w:r>
    </w:p>
    <w:p w14:paraId="59447452"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f)</w:t>
      </w:r>
      <w:r w:rsidRPr="00257BDC">
        <w:rPr>
          <w:rFonts w:ascii="Arial" w:eastAsia="Arial" w:hAnsi="Arial" w:cs="Arial"/>
          <w:kern w:val="0"/>
          <w:lang w:eastAsia="pt-BR"/>
          <w14:ligatures w14:val="none"/>
        </w:rPr>
        <w:t xml:space="preserve"> não celebrar o contrato ou não entregar a documentação exigida para a contratação, quando convocado dentro do prazo de validade de sua proposta;</w:t>
      </w:r>
    </w:p>
    <w:p w14:paraId="322F47B4"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g)</w:t>
      </w:r>
      <w:r w:rsidRPr="00257BDC">
        <w:rPr>
          <w:rFonts w:ascii="Arial" w:eastAsia="Arial" w:hAnsi="Arial" w:cs="Arial"/>
          <w:kern w:val="0"/>
          <w:lang w:eastAsia="pt-BR"/>
          <w14:ligatures w14:val="none"/>
        </w:rPr>
        <w:t xml:space="preserve"> ensejar o retardamento da execução ou da entrega do objeto da licitação sem motivo justificado;</w:t>
      </w:r>
    </w:p>
    <w:p w14:paraId="5ADE9D08"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h)</w:t>
      </w:r>
      <w:r w:rsidRPr="00257BDC">
        <w:rPr>
          <w:rFonts w:ascii="Arial" w:eastAsia="Arial" w:hAnsi="Arial" w:cs="Arial"/>
          <w:kern w:val="0"/>
          <w:lang w:eastAsia="pt-BR"/>
          <w14:ligatures w14:val="none"/>
        </w:rPr>
        <w:t xml:space="preserve"> apresentar declaração ou documentação falsa exigida para o certame ou prestar declaração falsa durante a licitação ou a execução do contrato;</w:t>
      </w:r>
    </w:p>
    <w:p w14:paraId="293B112D"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i)</w:t>
      </w:r>
      <w:r w:rsidRPr="00257BDC">
        <w:rPr>
          <w:rFonts w:ascii="Arial" w:eastAsia="Arial" w:hAnsi="Arial" w:cs="Arial"/>
          <w:kern w:val="0"/>
          <w:lang w:eastAsia="pt-BR"/>
          <w14:ligatures w14:val="none"/>
        </w:rPr>
        <w:t xml:space="preserve"> fraudar a licitação ou praticar ato fraudulento na execução do contrato;</w:t>
      </w:r>
    </w:p>
    <w:p w14:paraId="5A0EB9F2"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j)</w:t>
      </w:r>
      <w:r w:rsidRPr="00257BDC">
        <w:rPr>
          <w:rFonts w:ascii="Arial" w:eastAsia="Arial" w:hAnsi="Arial" w:cs="Arial"/>
          <w:kern w:val="0"/>
          <w:lang w:eastAsia="pt-BR"/>
          <w14:ligatures w14:val="none"/>
        </w:rPr>
        <w:t xml:space="preserve"> comportar-se de modo inidôneo ou cometer fraude de qualquer natureza;</w:t>
      </w:r>
    </w:p>
    <w:p w14:paraId="02006783"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l)</w:t>
      </w:r>
      <w:r w:rsidRPr="00257BDC">
        <w:rPr>
          <w:rFonts w:ascii="Arial" w:eastAsia="Arial" w:hAnsi="Arial" w:cs="Arial"/>
          <w:kern w:val="0"/>
          <w:lang w:eastAsia="pt-BR"/>
          <w14:ligatures w14:val="none"/>
        </w:rPr>
        <w:t xml:space="preserve"> praticar atos ilícitos com vistas a frustrar os objetivos da licitação;</w:t>
      </w:r>
    </w:p>
    <w:p w14:paraId="648FC3F6"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m)</w:t>
      </w:r>
      <w:r w:rsidRPr="00257BDC">
        <w:rPr>
          <w:rFonts w:ascii="Arial" w:eastAsia="Arial" w:hAnsi="Arial" w:cs="Arial"/>
          <w:kern w:val="0"/>
          <w:lang w:eastAsia="pt-BR"/>
          <w14:ligatures w14:val="none"/>
        </w:rPr>
        <w:t xml:space="preserve"> praticar ato lesivo previsto no </w:t>
      </w:r>
      <w:hyperlink r:id="rId7">
        <w:r w:rsidRPr="00257BDC">
          <w:rPr>
            <w:rFonts w:ascii="Arial" w:eastAsia="Arial" w:hAnsi="Arial" w:cs="Arial"/>
            <w:color w:val="0563C1"/>
            <w:kern w:val="0"/>
            <w:u w:val="single"/>
            <w:lang w:eastAsia="pt-BR"/>
            <w14:ligatures w14:val="none"/>
          </w:rPr>
          <w:t>art. 5º da Lei nº 12.846, de 1º de agosto de 2013.</w:t>
        </w:r>
      </w:hyperlink>
    </w:p>
    <w:p w14:paraId="7A5D971F"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11.2 Serão aplicadas ao responsável pelas infrações administrativas previstas as seguintes sanções:</w:t>
      </w:r>
    </w:p>
    <w:p w14:paraId="737B8089"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a)</w:t>
      </w:r>
      <w:r w:rsidRPr="00257BDC">
        <w:rPr>
          <w:rFonts w:ascii="Arial" w:eastAsia="Arial" w:hAnsi="Arial" w:cs="Arial"/>
          <w:kern w:val="0"/>
          <w:lang w:eastAsia="pt-BR"/>
          <w14:ligatures w14:val="none"/>
        </w:rPr>
        <w:t xml:space="preserve"> advertência;</w:t>
      </w:r>
    </w:p>
    <w:p w14:paraId="63FF06C5"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b)</w:t>
      </w:r>
      <w:r w:rsidRPr="00257BDC">
        <w:rPr>
          <w:rFonts w:ascii="Arial" w:eastAsia="Arial" w:hAnsi="Arial" w:cs="Arial"/>
          <w:kern w:val="0"/>
          <w:lang w:eastAsia="pt-BR"/>
          <w14:ligatures w14:val="none"/>
        </w:rPr>
        <w:t xml:space="preserve"> multa de no mínimo 0,5% (cinco décimos por cento) e máximo de 30% (trinta por cento) do valor do objeto licitado ou contratado;</w:t>
      </w:r>
    </w:p>
    <w:p w14:paraId="49B3AF46"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c)</w:t>
      </w:r>
      <w:r w:rsidRPr="00257BDC">
        <w:rPr>
          <w:rFonts w:ascii="Arial" w:eastAsia="Arial" w:hAnsi="Arial" w:cs="Arial"/>
          <w:kern w:val="0"/>
          <w:lang w:eastAsia="pt-BR"/>
          <w14:ligatures w14:val="none"/>
        </w:rPr>
        <w:t xml:space="preserve"> impedimento de licitar e contratar, no âmbito da Administração Pública direta e indireta do órgão licitante, pelo prazo máximo de 3 (três) anos.</w:t>
      </w:r>
    </w:p>
    <w:p w14:paraId="0D57E600"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b/>
          <w:kern w:val="0"/>
          <w:lang w:eastAsia="pt-BR"/>
          <w14:ligatures w14:val="none"/>
        </w:rPr>
        <w:t>d)</w:t>
      </w:r>
      <w:r w:rsidRPr="00257BDC">
        <w:rPr>
          <w:rFonts w:ascii="Arial" w:eastAsia="Arial" w:hAnsi="Arial" w:cs="Arial"/>
          <w:kern w:val="0"/>
          <w:lang w:eastAsia="pt-BR"/>
          <w14:ligatures w14:val="none"/>
        </w:rPr>
        <w:t xml:space="preserve"> declaração de inidoneidade para licitar ou contratar no âmbito da Administração Pública direta e indireta de todos os entes federativos, pelo prazo mínimo de 3 (três) anos e máximo de 6 (seis) anos.</w:t>
      </w:r>
    </w:p>
    <w:p w14:paraId="001F521D"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As sanções previstas nas alíneas “a”, “c” e “d” do item 11.2 poderão ser aplicadas cumulativamente com a prevista na alínea “b” do mesmo item.</w:t>
      </w:r>
    </w:p>
    <w:p w14:paraId="4C9DDA48"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 xml:space="preserve">A aplicação de multa de mora não impedirá que a Administração a converta em compensatória e promova a extinção unilateral do contrato com a aplicação cumulada de outras sanções, conforme previsto no item 11.2 do presente.  </w:t>
      </w:r>
    </w:p>
    <w:p w14:paraId="5ECBDB64"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DAC6E62"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A aplicação das sanções previstas não exclui, em hipótese alguma, a obrigação de reparação integral do dano causado à Administração Pública.</w:t>
      </w:r>
    </w:p>
    <w:p w14:paraId="6B138462"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Na aplicação da sanção prevista no item 4, alínea “b”, será facultada a defesa do interessado no prazo de 15 (quinze) dias úteis, contado da data de sua intimação.</w:t>
      </w:r>
    </w:p>
    <w:p w14:paraId="66CA9B2F"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Para aplicação das sanções previstas nas alíneas “c” e “d” do item 11.2 do presente Edital o licitante ou o contratado será intimado para, no prazo de 15 (quinze) dias úteis, contado da data de intimação, apresentar defesa escrita e especificar as provas que pretenda produzir.</w:t>
      </w:r>
    </w:p>
    <w:p w14:paraId="05B05662"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8EEAE30"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lastRenderedPageBreak/>
        <w:t>Serão indeferidas pela comissão, mediante decisão fundamentada, provas ilícitas, impertinentes, desnecessárias, protelatórias ou intempestivas.</w:t>
      </w:r>
    </w:p>
    <w:p w14:paraId="579D574E"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A2B2C71" w14:textId="77777777" w:rsidR="00257BDC" w:rsidRPr="00257BDC" w:rsidRDefault="00257BDC" w:rsidP="00257BDC">
      <w:pPr>
        <w:numPr>
          <w:ilvl w:val="2"/>
          <w:numId w:val="1"/>
        </w:num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É admitida a reabilitação do licitante ou contratado perante a própria autoridade que aplicou a penalidade, exigidos, cumulativamente:</w:t>
      </w:r>
    </w:p>
    <w:p w14:paraId="7554D479"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a) reparação integral do dano causado à Administração Pública;</w:t>
      </w:r>
    </w:p>
    <w:p w14:paraId="52681599"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b) pagamento da multa;</w:t>
      </w:r>
    </w:p>
    <w:p w14:paraId="7E11814B"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009A1DF9"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d) cumprimento das condições de reabilitação definidas no ato punitivo;</w:t>
      </w:r>
    </w:p>
    <w:p w14:paraId="337C9986" w14:textId="77777777" w:rsidR="00257BDC" w:rsidRPr="00257BDC" w:rsidRDefault="00257BDC" w:rsidP="00257BDC">
      <w:pPr>
        <w:spacing w:after="0" w:line="240" w:lineRule="auto"/>
        <w:contextualSpacing/>
        <w:jc w:val="both"/>
        <w:rPr>
          <w:rFonts w:ascii="Arial" w:eastAsia="Arial" w:hAnsi="Arial" w:cs="Arial"/>
          <w:kern w:val="0"/>
          <w:lang w:eastAsia="pt-BR"/>
          <w14:ligatures w14:val="none"/>
        </w:rPr>
      </w:pPr>
      <w:r w:rsidRPr="00257BDC">
        <w:rPr>
          <w:rFonts w:ascii="Arial" w:eastAsia="Arial" w:hAnsi="Arial" w:cs="Arial"/>
          <w:kern w:val="0"/>
          <w:lang w:eastAsia="pt-BR"/>
          <w14:ligatures w14:val="none"/>
        </w:rPr>
        <w:t>e) análise jurídica prévia, com posicionamento conclusivo quanto ao cumprimento dos requisitos definidos neste artigo.</w:t>
      </w:r>
    </w:p>
    <w:p w14:paraId="4E1A68C5"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TERCEIRO </w:t>
      </w:r>
      <w:r w:rsidRPr="00257BDC">
        <w:rPr>
          <w:rFonts w:ascii="Arial" w:eastAsia="Calibri" w:hAnsi="Arial" w:cs="Arial"/>
          <w:kern w:val="0"/>
          <w14:ligatures w14:val="none"/>
        </w:rPr>
        <w:t xml:space="preserve">– Será considerado como valor do Contrato, o valor mínimo total, indicado na avaliação. </w:t>
      </w:r>
    </w:p>
    <w:p w14:paraId="663230A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QUARTO </w:t>
      </w:r>
      <w:r w:rsidRPr="00257BDC">
        <w:rPr>
          <w:rFonts w:ascii="Arial" w:eastAsia="Calibri" w:hAnsi="Arial" w:cs="Arial"/>
          <w:kern w:val="0"/>
          <w14:ligatures w14:val="none"/>
        </w:rPr>
        <w:t xml:space="preserve">– A Contratada não estará sujeita a multas na ocorrência de “Caso Fortuito ou Força Maior”. </w:t>
      </w:r>
    </w:p>
    <w:p w14:paraId="2E819285"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QUINTO </w:t>
      </w:r>
      <w:r w:rsidRPr="00257BDC">
        <w:rPr>
          <w:rFonts w:ascii="Arial" w:eastAsia="Calibri" w:hAnsi="Arial" w:cs="Arial"/>
          <w:kern w:val="0"/>
          <w14:ligatures w14:val="none"/>
        </w:rPr>
        <w:t>– O pagamento das multas a que se refere esta cláusula não exime a Contratada da reparação das eventuais perdas e danos, ou prejuízos que causar à Contratante ou a terceiros em decorrência da execução deste Contrato;</w:t>
      </w:r>
    </w:p>
    <w:p w14:paraId="3BDECAF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SEXTO – As penalidades serão aplicadas após regular processo </w:t>
      </w:r>
      <w:r w:rsidRPr="00257BDC">
        <w:rPr>
          <w:rFonts w:ascii="Arial" w:eastAsia="Calibri" w:hAnsi="Arial" w:cs="Arial"/>
          <w:kern w:val="0"/>
          <w14:ligatures w14:val="none"/>
        </w:rPr>
        <w:t xml:space="preserve">administrativo, garantido os princípios da ampla defesa e do contraditório. </w:t>
      </w:r>
    </w:p>
    <w:p w14:paraId="6D1D269E"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PARÁGRAFO SÉTIMO </w:t>
      </w:r>
      <w:r w:rsidRPr="00257BDC">
        <w:rPr>
          <w:rFonts w:ascii="Arial" w:eastAsia="Calibri" w:hAnsi="Arial" w:cs="Arial"/>
          <w:kern w:val="0"/>
          <w14:ligatures w14:val="none"/>
        </w:rPr>
        <w:t xml:space="preserve">– Na aplicação das penalidades previstas neste contrato, será facultada a defesa prévia da Contratada no respectivo processo, no prazo de 5 (cinco) dias úteis, contados a partir da sua notificação. </w:t>
      </w:r>
    </w:p>
    <w:p w14:paraId="125F60C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CLÁUSULA OITAVA – DISPOSIÇÕES GERAIS </w:t>
      </w:r>
    </w:p>
    <w:p w14:paraId="701082F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Para a realização do leilão oficial, será necessária a autorização de venda feita pelo Contratante. </w:t>
      </w:r>
    </w:p>
    <w:p w14:paraId="447E15C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Fica o contratado obrigado ao cumprimento das exigências de reserva de cargos para pessoa com deficiência e para reabilitado da Previdência Social, previstas em lei e em outras normas específicas.</w:t>
      </w:r>
    </w:p>
    <w:p w14:paraId="341736E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CLÁUSULA NONA – PUBLICAÇÃO </w:t>
      </w:r>
    </w:p>
    <w:p w14:paraId="79A24F86"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A publicação do presente contrato correrá por conta e ônus do Contratante. </w:t>
      </w:r>
    </w:p>
    <w:p w14:paraId="62D1C170"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CLÁUSULA DÉCIMA – ANEXOS </w:t>
      </w:r>
    </w:p>
    <w:p w14:paraId="23F6C5F9"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São anexos ao presente instrumento e dele fazem parte integrante os seguintes documentos: </w:t>
      </w:r>
    </w:p>
    <w:p w14:paraId="4D15A498"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1. Edital de Credenciamento nº 04/2025 e seus anexos; </w:t>
      </w:r>
    </w:p>
    <w:p w14:paraId="52582B7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2. Pedido de Credenciamento e documentação da Contratada. </w:t>
      </w:r>
    </w:p>
    <w:p w14:paraId="1B8862AD"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b/>
          <w:bCs/>
          <w:kern w:val="0"/>
          <w14:ligatures w14:val="none"/>
        </w:rPr>
        <w:t xml:space="preserve">CLÁUSULA DÉCIMA PRIMEIRA – DO FORO </w:t>
      </w:r>
    </w:p>
    <w:p w14:paraId="5A3E56A5"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Fica eleito o foro da Comarca de Tenente Portela/RS, renunciando-se a qualquer outro por mais privilegiado que seja, para dirimir qualquer dúvida ou pendência oriunda do presente instrumento </w:t>
      </w:r>
    </w:p>
    <w:p w14:paraId="248EE2F1"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r w:rsidRPr="00257BDC">
        <w:rPr>
          <w:rFonts w:ascii="Arial" w:eastAsia="Calibri" w:hAnsi="Arial" w:cs="Arial"/>
          <w:kern w:val="0"/>
          <w14:ligatures w14:val="none"/>
        </w:rPr>
        <w:t xml:space="preserve">E por estarem justas e contratadas, assinam as partes o presente contrato, em 2 (duas) vias de igual teor e forma, para que surta seus efeitos legais. </w:t>
      </w:r>
    </w:p>
    <w:p w14:paraId="18A4F9B7" w14:textId="77777777" w:rsidR="00257BDC" w:rsidRPr="00257BDC" w:rsidRDefault="00257BDC" w:rsidP="00257BDC">
      <w:pPr>
        <w:autoSpaceDE w:val="0"/>
        <w:autoSpaceDN w:val="0"/>
        <w:adjustRightInd w:val="0"/>
        <w:spacing w:after="0" w:line="240" w:lineRule="auto"/>
        <w:jc w:val="both"/>
        <w:rPr>
          <w:rFonts w:ascii="Arial" w:eastAsia="Calibri" w:hAnsi="Arial" w:cs="Arial"/>
          <w:kern w:val="0"/>
          <w14:ligatures w14:val="none"/>
        </w:rPr>
      </w:pPr>
    </w:p>
    <w:p w14:paraId="0C0CA3DF" w14:textId="77777777" w:rsidR="00257BDC" w:rsidRDefault="00257BDC" w:rsidP="00BE5210">
      <w:pPr>
        <w:autoSpaceDE w:val="0"/>
        <w:autoSpaceDN w:val="0"/>
        <w:adjustRightInd w:val="0"/>
        <w:spacing w:after="0" w:line="240" w:lineRule="auto"/>
        <w:jc w:val="center"/>
        <w:rPr>
          <w:rFonts w:ascii="Arial" w:eastAsia="Calibri" w:hAnsi="Arial" w:cs="Arial"/>
          <w:kern w:val="0"/>
          <w14:ligatures w14:val="none"/>
        </w:rPr>
      </w:pPr>
      <w:r w:rsidRPr="00257BDC">
        <w:rPr>
          <w:rFonts w:ascii="Arial" w:eastAsia="Calibri" w:hAnsi="Arial" w:cs="Arial"/>
          <w:kern w:val="0"/>
          <w14:ligatures w14:val="none"/>
        </w:rPr>
        <w:t xml:space="preserve">Miraguaí, </w:t>
      </w:r>
      <w:r w:rsidR="002D3B10">
        <w:rPr>
          <w:rFonts w:ascii="Arial" w:eastAsia="Calibri" w:hAnsi="Arial" w:cs="Arial"/>
          <w:kern w:val="0"/>
          <w14:ligatures w14:val="none"/>
        </w:rPr>
        <w:t>09</w:t>
      </w:r>
      <w:r w:rsidRPr="00257BDC">
        <w:rPr>
          <w:rFonts w:ascii="Arial" w:eastAsia="Calibri" w:hAnsi="Arial" w:cs="Arial"/>
          <w:kern w:val="0"/>
          <w14:ligatures w14:val="none"/>
        </w:rPr>
        <w:t xml:space="preserve"> de </w:t>
      </w:r>
      <w:r w:rsidR="002D3B10">
        <w:rPr>
          <w:rFonts w:ascii="Arial" w:eastAsia="Calibri" w:hAnsi="Arial" w:cs="Arial"/>
          <w:kern w:val="0"/>
          <w14:ligatures w14:val="none"/>
        </w:rPr>
        <w:t>outubro</w:t>
      </w:r>
      <w:r w:rsidRPr="00257BDC">
        <w:rPr>
          <w:rFonts w:ascii="Arial" w:eastAsia="Calibri" w:hAnsi="Arial" w:cs="Arial"/>
          <w:kern w:val="0"/>
          <w14:ligatures w14:val="none"/>
        </w:rPr>
        <w:t xml:space="preserve"> de 2025.</w:t>
      </w:r>
    </w:p>
    <w:p w14:paraId="5BF752F0" w14:textId="77777777" w:rsidR="002D3B10" w:rsidRDefault="002D3B10" w:rsidP="00257BDC">
      <w:pPr>
        <w:autoSpaceDE w:val="0"/>
        <w:autoSpaceDN w:val="0"/>
        <w:adjustRightInd w:val="0"/>
        <w:spacing w:after="0" w:line="240" w:lineRule="auto"/>
        <w:rPr>
          <w:rFonts w:ascii="Arial" w:eastAsia="Calibri" w:hAnsi="Arial" w:cs="Arial"/>
          <w:kern w:val="0"/>
          <w14:ligatures w14:val="none"/>
        </w:rPr>
      </w:pPr>
    </w:p>
    <w:p w14:paraId="3A35B27B" w14:textId="77777777" w:rsidR="002D3B10" w:rsidRDefault="002D3B10" w:rsidP="00257BDC">
      <w:pPr>
        <w:autoSpaceDE w:val="0"/>
        <w:autoSpaceDN w:val="0"/>
        <w:adjustRightInd w:val="0"/>
        <w:spacing w:after="0" w:line="240" w:lineRule="auto"/>
        <w:rPr>
          <w:rFonts w:ascii="Arial" w:eastAsia="Calibri" w:hAnsi="Arial" w:cs="Arial"/>
          <w:kern w:val="0"/>
          <w14:ligatures w14:val="none"/>
        </w:rPr>
      </w:pPr>
    </w:p>
    <w:p w14:paraId="390CE4BD" w14:textId="77777777" w:rsidR="002D3B10" w:rsidRPr="00257BDC" w:rsidRDefault="002D3B10" w:rsidP="00257BDC">
      <w:pPr>
        <w:autoSpaceDE w:val="0"/>
        <w:autoSpaceDN w:val="0"/>
        <w:adjustRightInd w:val="0"/>
        <w:spacing w:after="0" w:line="240" w:lineRule="auto"/>
        <w:rPr>
          <w:rFonts w:ascii="Arial" w:eastAsia="Calibri" w:hAnsi="Arial" w:cs="Arial"/>
          <w:kern w:val="0"/>
          <w14:ligatures w14:val="none"/>
        </w:rPr>
      </w:pPr>
    </w:p>
    <w:p w14:paraId="3EAFE826" w14:textId="77777777" w:rsidR="00257BDC" w:rsidRPr="00257BDC" w:rsidRDefault="00257BDC" w:rsidP="00257BDC">
      <w:pPr>
        <w:autoSpaceDE w:val="0"/>
        <w:autoSpaceDN w:val="0"/>
        <w:adjustRightInd w:val="0"/>
        <w:spacing w:after="0" w:line="240" w:lineRule="auto"/>
        <w:rPr>
          <w:rFonts w:ascii="Arial" w:eastAsia="Calibri" w:hAnsi="Arial" w:cs="Arial"/>
          <w:kern w:val="0"/>
          <w14:ligatures w14:val="none"/>
        </w:rPr>
      </w:pPr>
    </w:p>
    <w:p w14:paraId="7D69CA33" w14:textId="77777777" w:rsidR="00257BDC" w:rsidRPr="00257BDC" w:rsidRDefault="00257BDC" w:rsidP="00257BDC">
      <w:pPr>
        <w:autoSpaceDE w:val="0"/>
        <w:autoSpaceDN w:val="0"/>
        <w:adjustRightInd w:val="0"/>
        <w:spacing w:after="0" w:line="240" w:lineRule="auto"/>
        <w:rPr>
          <w:rFonts w:ascii="Arial" w:eastAsia="Calibri" w:hAnsi="Arial" w:cs="Arial"/>
          <w:kern w:val="0"/>
          <w14:ligatures w14:val="none"/>
        </w:rPr>
      </w:pPr>
      <w:r w:rsidRPr="00257BDC">
        <w:rPr>
          <w:rFonts w:ascii="Arial" w:eastAsia="Calibri" w:hAnsi="Arial" w:cs="Arial"/>
          <w:kern w:val="0"/>
          <w14:ligatures w14:val="none"/>
        </w:rPr>
        <w:t xml:space="preserve">_________________________                  </w:t>
      </w:r>
      <w:r w:rsidR="00BE5210">
        <w:rPr>
          <w:rFonts w:ascii="Arial" w:eastAsia="Calibri" w:hAnsi="Arial" w:cs="Arial"/>
          <w:kern w:val="0"/>
          <w14:ligatures w14:val="none"/>
        </w:rPr>
        <w:t xml:space="preserve">      _______</w:t>
      </w:r>
      <w:r w:rsidRPr="00257BDC">
        <w:rPr>
          <w:rFonts w:ascii="Arial" w:eastAsia="Calibri" w:hAnsi="Arial" w:cs="Arial"/>
          <w:kern w:val="0"/>
          <w14:ligatures w14:val="none"/>
        </w:rPr>
        <w:t>_______________________</w:t>
      </w:r>
    </w:p>
    <w:p w14:paraId="5E7F02E8" w14:textId="77777777" w:rsidR="002D3B10" w:rsidRDefault="00257BDC" w:rsidP="00257BDC">
      <w:pPr>
        <w:autoSpaceDE w:val="0"/>
        <w:autoSpaceDN w:val="0"/>
        <w:adjustRightInd w:val="0"/>
        <w:spacing w:after="0" w:line="240" w:lineRule="auto"/>
        <w:rPr>
          <w:rFonts w:ascii="Arial" w:eastAsia="Calibri" w:hAnsi="Arial" w:cs="Arial"/>
          <w:kern w:val="0"/>
          <w14:ligatures w14:val="none"/>
        </w:rPr>
      </w:pPr>
      <w:r w:rsidRPr="00257BDC">
        <w:rPr>
          <w:rFonts w:ascii="Arial" w:eastAsia="Calibri" w:hAnsi="Arial" w:cs="Arial"/>
          <w:kern w:val="0"/>
          <w14:ligatures w14:val="none"/>
        </w:rPr>
        <w:t xml:space="preserve">LEONIR HARTK                  </w:t>
      </w:r>
      <w:r w:rsidR="00BE5210">
        <w:rPr>
          <w:rFonts w:ascii="Arial" w:eastAsia="Calibri" w:hAnsi="Arial" w:cs="Arial"/>
          <w:kern w:val="0"/>
          <w14:ligatures w14:val="none"/>
        </w:rPr>
        <w:t xml:space="preserve">                          </w:t>
      </w:r>
      <w:r w:rsidRPr="00257BDC">
        <w:rPr>
          <w:rFonts w:ascii="Arial" w:eastAsia="Calibri" w:hAnsi="Arial" w:cs="Arial"/>
          <w:kern w:val="0"/>
          <w14:ligatures w14:val="none"/>
        </w:rPr>
        <w:t xml:space="preserve">  </w:t>
      </w:r>
      <w:r w:rsidR="00BE5210">
        <w:rPr>
          <w:rFonts w:ascii="Arial" w:eastAsia="Calibri" w:hAnsi="Arial" w:cs="Arial"/>
          <w:kern w:val="0"/>
          <w14:ligatures w14:val="none"/>
        </w:rPr>
        <w:t xml:space="preserve">   </w:t>
      </w:r>
      <w:r w:rsidR="002D3B10" w:rsidRPr="002D3B10">
        <w:rPr>
          <w:rFonts w:ascii="Arial" w:eastAsia="Calibri" w:hAnsi="Arial" w:cs="Arial"/>
          <w:bCs/>
          <w:kern w:val="0"/>
          <w14:ligatures w14:val="none"/>
        </w:rPr>
        <w:t>GIANCARLO PETERLONGO</w:t>
      </w:r>
      <w:r w:rsidRPr="00257BDC">
        <w:rPr>
          <w:rFonts w:ascii="Arial" w:eastAsia="Calibri" w:hAnsi="Arial" w:cs="Arial"/>
          <w:kern w:val="0"/>
          <w14:ligatures w14:val="none"/>
        </w:rPr>
        <w:t xml:space="preserve">                                                 </w:t>
      </w:r>
    </w:p>
    <w:p w14:paraId="499F6C33" w14:textId="77777777" w:rsidR="002D3B10" w:rsidRDefault="002D3B10" w:rsidP="00257BDC">
      <w:pPr>
        <w:autoSpaceDE w:val="0"/>
        <w:autoSpaceDN w:val="0"/>
        <w:adjustRightInd w:val="0"/>
        <w:spacing w:after="0" w:line="240" w:lineRule="auto"/>
        <w:rPr>
          <w:rFonts w:ascii="Arial" w:eastAsia="Calibri" w:hAnsi="Arial" w:cs="Arial"/>
          <w:bCs/>
          <w:kern w:val="0"/>
          <w14:ligatures w14:val="none"/>
        </w:rPr>
      </w:pPr>
      <w:r>
        <w:rPr>
          <w:rFonts w:ascii="Arial" w:eastAsia="Calibri" w:hAnsi="Arial" w:cs="Arial"/>
          <w:kern w:val="0"/>
          <w14:ligatures w14:val="none"/>
        </w:rPr>
        <w:t>Prefeito Município Miraguaí</w:t>
      </w:r>
      <w:r w:rsidR="00BE5210">
        <w:rPr>
          <w:rFonts w:ascii="Arial" w:eastAsia="Calibri" w:hAnsi="Arial" w:cs="Arial"/>
          <w:kern w:val="0"/>
          <w14:ligatures w14:val="none"/>
        </w:rPr>
        <w:t xml:space="preserve">                               </w:t>
      </w:r>
      <w:r w:rsidR="00BE5210" w:rsidRPr="00BE5210">
        <w:rPr>
          <w:rFonts w:ascii="Arial" w:eastAsia="Calibri" w:hAnsi="Arial" w:cs="Arial"/>
          <w:bCs/>
          <w:kern w:val="0"/>
          <w14:ligatures w14:val="none"/>
        </w:rPr>
        <w:t xml:space="preserve"> </w:t>
      </w:r>
      <w:r w:rsidR="00BE5210" w:rsidRPr="00BE5210">
        <w:rPr>
          <w:rFonts w:ascii="Arial" w:eastAsia="Calibri" w:hAnsi="Arial" w:cs="Arial"/>
          <w:bCs/>
          <w:kern w:val="0"/>
          <w14:ligatures w14:val="none"/>
        </w:rPr>
        <w:t>LORENZINI MENEGOTTO</w:t>
      </w:r>
    </w:p>
    <w:p w14:paraId="089117B6" w14:textId="3F38009D" w:rsidR="00BE5210" w:rsidRDefault="00BE5210" w:rsidP="00BE5210">
      <w:pPr>
        <w:tabs>
          <w:tab w:val="left" w:pos="4704"/>
        </w:tabs>
        <w:autoSpaceDE w:val="0"/>
        <w:autoSpaceDN w:val="0"/>
        <w:adjustRightInd w:val="0"/>
        <w:spacing w:after="0" w:line="240" w:lineRule="auto"/>
        <w:rPr>
          <w:rFonts w:ascii="Arial" w:eastAsia="Calibri" w:hAnsi="Arial" w:cs="Arial"/>
          <w:kern w:val="0"/>
          <w14:ligatures w14:val="none"/>
        </w:rPr>
      </w:pPr>
      <w:r>
        <w:rPr>
          <w:rFonts w:ascii="Arial" w:eastAsia="Calibri" w:hAnsi="Arial" w:cs="Arial"/>
          <w:kern w:val="0"/>
          <w14:ligatures w14:val="none"/>
        </w:rPr>
        <w:tab/>
        <w:t xml:space="preserve">           Leiloeiro</w:t>
      </w:r>
    </w:p>
    <w:p w14:paraId="0406CC47" w14:textId="77777777" w:rsidR="002D3B10" w:rsidRDefault="002D3B10" w:rsidP="00257BDC">
      <w:pPr>
        <w:autoSpaceDE w:val="0"/>
        <w:autoSpaceDN w:val="0"/>
        <w:adjustRightInd w:val="0"/>
        <w:spacing w:after="0" w:line="240" w:lineRule="auto"/>
        <w:rPr>
          <w:rFonts w:ascii="Arial" w:eastAsia="Calibri" w:hAnsi="Arial" w:cs="Arial"/>
          <w:kern w:val="0"/>
          <w14:ligatures w14:val="none"/>
        </w:rPr>
      </w:pPr>
    </w:p>
    <w:p w14:paraId="13D77AEA" w14:textId="77777777" w:rsidR="002D3B10" w:rsidRPr="00BE5210" w:rsidRDefault="002D3B10" w:rsidP="00257BDC">
      <w:pPr>
        <w:autoSpaceDE w:val="0"/>
        <w:autoSpaceDN w:val="0"/>
        <w:adjustRightInd w:val="0"/>
        <w:spacing w:after="0" w:line="240" w:lineRule="auto"/>
        <w:rPr>
          <w:rFonts w:ascii="Arial" w:eastAsia="Calibri" w:hAnsi="Arial" w:cs="Arial"/>
          <w:kern w:val="0"/>
          <w14:ligatures w14:val="none"/>
        </w:rPr>
      </w:pPr>
    </w:p>
    <w:p w14:paraId="4C93228C" w14:textId="77777777" w:rsidR="00BE5210" w:rsidRPr="00BE5210" w:rsidRDefault="00BE5210" w:rsidP="00BE5210">
      <w:pPr>
        <w:autoSpaceDE w:val="0"/>
        <w:autoSpaceDN w:val="0"/>
        <w:adjustRightInd w:val="0"/>
        <w:spacing w:after="0" w:line="240" w:lineRule="auto"/>
        <w:jc w:val="center"/>
        <w:rPr>
          <w:rFonts w:ascii="Arial" w:eastAsia="Calibri" w:hAnsi="Arial" w:cs="Arial"/>
          <w:kern w:val="0"/>
          <w14:ligatures w14:val="none"/>
        </w:rPr>
      </w:pPr>
    </w:p>
    <w:p w14:paraId="43A12FE6" w14:textId="77777777" w:rsidR="00BE5210" w:rsidRPr="00BE5210" w:rsidRDefault="00BE5210" w:rsidP="00BE5210">
      <w:pPr>
        <w:autoSpaceDE w:val="0"/>
        <w:autoSpaceDN w:val="0"/>
        <w:adjustRightInd w:val="0"/>
        <w:spacing w:after="0" w:line="240" w:lineRule="auto"/>
        <w:jc w:val="center"/>
        <w:rPr>
          <w:rFonts w:ascii="Arial" w:eastAsia="Calibri" w:hAnsi="Arial" w:cs="Arial"/>
          <w:kern w:val="0"/>
          <w14:ligatures w14:val="none"/>
        </w:rPr>
      </w:pPr>
      <w:r w:rsidRPr="00BE5210">
        <w:rPr>
          <w:rFonts w:ascii="Arial" w:eastAsia="Calibri" w:hAnsi="Arial" w:cs="Arial"/>
          <w:kern w:val="0"/>
          <w14:ligatures w14:val="none"/>
        </w:rPr>
        <w:t>____________________________</w:t>
      </w:r>
    </w:p>
    <w:p w14:paraId="19B758A2" w14:textId="77777777" w:rsidR="00257BDC" w:rsidRPr="00BE5210" w:rsidRDefault="00257BDC" w:rsidP="00BE5210">
      <w:pPr>
        <w:autoSpaceDE w:val="0"/>
        <w:autoSpaceDN w:val="0"/>
        <w:adjustRightInd w:val="0"/>
        <w:spacing w:after="0" w:line="240" w:lineRule="auto"/>
        <w:jc w:val="center"/>
        <w:rPr>
          <w:rFonts w:ascii="Arial" w:eastAsia="Calibri" w:hAnsi="Arial" w:cs="Arial"/>
          <w:kern w:val="0"/>
          <w14:ligatures w14:val="none"/>
        </w:rPr>
      </w:pPr>
      <w:r w:rsidRPr="00257BDC">
        <w:rPr>
          <w:rFonts w:ascii="Arial" w:eastAsia="Calibri" w:hAnsi="Arial" w:cs="Arial"/>
          <w:kern w:val="0"/>
          <w14:ligatures w14:val="none"/>
        </w:rPr>
        <w:t>FLAVIO VENZO</w:t>
      </w:r>
    </w:p>
    <w:p w14:paraId="29CFFCAB" w14:textId="77777777" w:rsidR="00BE5210" w:rsidRPr="00257BDC" w:rsidRDefault="00BE5210" w:rsidP="00BE5210">
      <w:pPr>
        <w:autoSpaceDE w:val="0"/>
        <w:autoSpaceDN w:val="0"/>
        <w:adjustRightInd w:val="0"/>
        <w:spacing w:after="0" w:line="240" w:lineRule="auto"/>
        <w:jc w:val="center"/>
        <w:rPr>
          <w:rFonts w:ascii="Arial" w:eastAsia="Calibri" w:hAnsi="Arial" w:cs="Arial"/>
          <w:kern w:val="0"/>
          <w14:ligatures w14:val="none"/>
        </w:rPr>
      </w:pPr>
      <w:r w:rsidRPr="00BE5210">
        <w:rPr>
          <w:rFonts w:ascii="Arial" w:eastAsia="Calibri" w:hAnsi="Arial" w:cs="Arial"/>
          <w:kern w:val="0"/>
          <w14:ligatures w14:val="none"/>
        </w:rPr>
        <w:t>Fiscal do Contrato</w:t>
      </w:r>
    </w:p>
    <w:p w14:paraId="2B1D0058" w14:textId="77777777" w:rsidR="00257BDC" w:rsidRPr="00257BDC" w:rsidRDefault="00257BDC" w:rsidP="00257BDC">
      <w:pPr>
        <w:spacing w:line="256" w:lineRule="auto"/>
        <w:rPr>
          <w:rFonts w:ascii="Arial" w:eastAsia="Calibri" w:hAnsi="Arial" w:cs="Arial"/>
          <w:kern w:val="0"/>
          <w14:ligatures w14:val="none"/>
        </w:rPr>
      </w:pPr>
    </w:p>
    <w:p w14:paraId="12A2E9BE" w14:textId="77777777" w:rsidR="00DE05E3" w:rsidRDefault="00DE05E3"/>
    <w:sectPr w:rsidR="00DE05E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66921" w14:textId="77777777" w:rsidR="00257BDC" w:rsidRDefault="00257BDC" w:rsidP="00257BDC">
      <w:pPr>
        <w:spacing w:after="0" w:line="240" w:lineRule="auto"/>
      </w:pPr>
      <w:r>
        <w:separator/>
      </w:r>
    </w:p>
  </w:endnote>
  <w:endnote w:type="continuationSeparator" w:id="0">
    <w:p w14:paraId="7BF258F6" w14:textId="77777777" w:rsidR="00257BDC" w:rsidRDefault="00257BDC" w:rsidP="00257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BF4B2" w14:textId="77777777" w:rsidR="00257BDC" w:rsidRDefault="00257BDC" w:rsidP="00257BDC">
      <w:pPr>
        <w:spacing w:after="0" w:line="240" w:lineRule="auto"/>
      </w:pPr>
      <w:r>
        <w:separator/>
      </w:r>
    </w:p>
  </w:footnote>
  <w:footnote w:type="continuationSeparator" w:id="0">
    <w:p w14:paraId="2714C7E4" w14:textId="77777777" w:rsidR="00257BDC" w:rsidRDefault="00257BDC" w:rsidP="00257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2D9C1" w14:textId="77777777" w:rsidR="00257BDC" w:rsidRDefault="00257BDC">
    <w:pPr>
      <w:pStyle w:val="Cabealho"/>
    </w:pPr>
    <w:r w:rsidRPr="00257BDC">
      <w:rPr>
        <w:rFonts w:ascii="Calibri" w:eastAsia="Calibri" w:hAnsi="Calibri" w:cs="Times New Roman"/>
        <w:noProof/>
        <w:kern w:val="0"/>
      </w:rPr>
      <w:drawing>
        <wp:inline distT="0" distB="0" distL="0" distR="0" wp14:anchorId="07ED8A30" wp14:editId="3EDB0052">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2C0F13"/>
    <w:multiLevelType w:val="multilevel"/>
    <w:tmpl w:val="1BFC0E08"/>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75388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BDC"/>
    <w:rsid w:val="00046371"/>
    <w:rsid w:val="00047BE5"/>
    <w:rsid w:val="001016F2"/>
    <w:rsid w:val="00257BDC"/>
    <w:rsid w:val="002D3B10"/>
    <w:rsid w:val="00460A3C"/>
    <w:rsid w:val="00551450"/>
    <w:rsid w:val="00665CAC"/>
    <w:rsid w:val="0078466A"/>
    <w:rsid w:val="008A0CDA"/>
    <w:rsid w:val="00BE5210"/>
    <w:rsid w:val="00DE05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F124"/>
  <w15:chartTrackingRefBased/>
  <w15:docId w15:val="{8355D9EC-892D-41BC-AFE1-23A8E02A1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57BD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257BD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257BDC"/>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257BDC"/>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257BDC"/>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257BD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57BD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57BD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57BD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57BDC"/>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257BDC"/>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257BDC"/>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257BDC"/>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257BDC"/>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257BD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57BD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57BD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57BDC"/>
    <w:rPr>
      <w:rFonts w:eastAsiaTheme="majorEastAsia" w:cstheme="majorBidi"/>
      <w:color w:val="272727" w:themeColor="text1" w:themeTint="D8"/>
    </w:rPr>
  </w:style>
  <w:style w:type="paragraph" w:styleId="Ttulo">
    <w:name w:val="Title"/>
    <w:basedOn w:val="Normal"/>
    <w:next w:val="Normal"/>
    <w:link w:val="TtuloChar"/>
    <w:uiPriority w:val="10"/>
    <w:qFormat/>
    <w:rsid w:val="00257B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57B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57BD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57BD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57BDC"/>
    <w:pPr>
      <w:spacing w:before="160"/>
      <w:jc w:val="center"/>
    </w:pPr>
    <w:rPr>
      <w:i/>
      <w:iCs/>
      <w:color w:val="404040" w:themeColor="text1" w:themeTint="BF"/>
    </w:rPr>
  </w:style>
  <w:style w:type="character" w:customStyle="1" w:styleId="CitaoChar">
    <w:name w:val="Citação Char"/>
    <w:basedOn w:val="Fontepargpadro"/>
    <w:link w:val="Citao"/>
    <w:uiPriority w:val="29"/>
    <w:rsid w:val="00257BDC"/>
    <w:rPr>
      <w:i/>
      <w:iCs/>
      <w:color w:val="404040" w:themeColor="text1" w:themeTint="BF"/>
    </w:rPr>
  </w:style>
  <w:style w:type="paragraph" w:styleId="PargrafodaLista">
    <w:name w:val="List Paragraph"/>
    <w:basedOn w:val="Normal"/>
    <w:uiPriority w:val="34"/>
    <w:qFormat/>
    <w:rsid w:val="00257BDC"/>
    <w:pPr>
      <w:ind w:left="720"/>
      <w:contextualSpacing/>
    </w:pPr>
  </w:style>
  <w:style w:type="character" w:styleId="nfaseIntensa">
    <w:name w:val="Intense Emphasis"/>
    <w:basedOn w:val="Fontepargpadro"/>
    <w:uiPriority w:val="21"/>
    <w:qFormat/>
    <w:rsid w:val="00257BDC"/>
    <w:rPr>
      <w:i/>
      <w:iCs/>
      <w:color w:val="2E74B5" w:themeColor="accent1" w:themeShade="BF"/>
    </w:rPr>
  </w:style>
  <w:style w:type="paragraph" w:styleId="CitaoIntensa">
    <w:name w:val="Intense Quote"/>
    <w:basedOn w:val="Normal"/>
    <w:next w:val="Normal"/>
    <w:link w:val="CitaoIntensaChar"/>
    <w:uiPriority w:val="30"/>
    <w:qFormat/>
    <w:rsid w:val="00257BD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257BDC"/>
    <w:rPr>
      <w:i/>
      <w:iCs/>
      <w:color w:val="2E74B5" w:themeColor="accent1" w:themeShade="BF"/>
    </w:rPr>
  </w:style>
  <w:style w:type="character" w:styleId="RefernciaIntensa">
    <w:name w:val="Intense Reference"/>
    <w:basedOn w:val="Fontepargpadro"/>
    <w:uiPriority w:val="32"/>
    <w:qFormat/>
    <w:rsid w:val="00257BDC"/>
    <w:rPr>
      <w:b/>
      <w:bCs/>
      <w:smallCaps/>
      <w:color w:val="2E74B5" w:themeColor="accent1" w:themeShade="BF"/>
      <w:spacing w:val="5"/>
    </w:rPr>
  </w:style>
  <w:style w:type="paragraph" w:styleId="Cabealho">
    <w:name w:val="header"/>
    <w:basedOn w:val="Normal"/>
    <w:link w:val="CabealhoChar"/>
    <w:uiPriority w:val="99"/>
    <w:unhideWhenUsed/>
    <w:rsid w:val="00257BD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7BDC"/>
  </w:style>
  <w:style w:type="paragraph" w:styleId="Rodap">
    <w:name w:val="footer"/>
    <w:basedOn w:val="Normal"/>
    <w:link w:val="RodapChar"/>
    <w:uiPriority w:val="99"/>
    <w:unhideWhenUsed/>
    <w:rsid w:val="00257BDC"/>
    <w:pPr>
      <w:tabs>
        <w:tab w:val="center" w:pos="4252"/>
        <w:tab w:val="right" w:pos="8504"/>
      </w:tabs>
      <w:spacing w:after="0" w:line="240" w:lineRule="auto"/>
    </w:pPr>
  </w:style>
  <w:style w:type="character" w:customStyle="1" w:styleId="RodapChar">
    <w:name w:val="Rodapé Char"/>
    <w:basedOn w:val="Fontepargpadro"/>
    <w:link w:val="Rodap"/>
    <w:uiPriority w:val="99"/>
    <w:rsid w:val="00257B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3028</Words>
  <Characters>16354</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2025-10-09T14:09:00Z</cp:lastPrinted>
  <dcterms:created xsi:type="dcterms:W3CDTF">2025-10-09T13:11:00Z</dcterms:created>
  <dcterms:modified xsi:type="dcterms:W3CDTF">2025-10-09T14:09:00Z</dcterms:modified>
</cp:coreProperties>
</file>